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85B2" w14:textId="66764593" w:rsidR="00115D22" w:rsidRPr="00115D22" w:rsidRDefault="002A47FC" w:rsidP="00115D22">
      <w:pPr>
        <w:spacing w:line="240" w:lineRule="auto"/>
        <w:jc w:val="center"/>
        <w:rPr>
          <w:rFonts w:cs="Arial"/>
          <w:b/>
          <w:bCs/>
          <w:color w:val="990000"/>
          <w:kern w:val="32"/>
          <w:sz w:val="32"/>
          <w:szCs w:val="32"/>
        </w:rPr>
      </w:pPr>
      <w:r w:rsidRPr="00115D22">
        <w:rPr>
          <w:rFonts w:cs="Arial"/>
          <w:b/>
          <w:bCs/>
          <w:color w:val="990000"/>
          <w:kern w:val="32"/>
          <w:sz w:val="32"/>
          <w:szCs w:val="32"/>
        </w:rPr>
        <w:t xml:space="preserve">SKEMA D FOR OFFENTLIGGØRELSEN AF KVALITATIVE </w:t>
      </w:r>
    </w:p>
    <w:p w14:paraId="476D0FAC" w14:textId="25BCFE6E" w:rsidR="00FF03A2" w:rsidRPr="00115D22" w:rsidRDefault="002A47FC" w:rsidP="00115D22">
      <w:pPr>
        <w:spacing w:line="240" w:lineRule="auto"/>
        <w:jc w:val="center"/>
        <w:rPr>
          <w:rFonts w:cs="Arial"/>
          <w:b/>
          <w:bCs/>
          <w:color w:val="990000"/>
          <w:kern w:val="32"/>
          <w:sz w:val="32"/>
          <w:szCs w:val="32"/>
        </w:rPr>
      </w:pPr>
      <w:r w:rsidRPr="00115D22">
        <w:rPr>
          <w:rFonts w:cs="Arial"/>
          <w:b/>
          <w:bCs/>
          <w:color w:val="990000"/>
          <w:kern w:val="32"/>
          <w:sz w:val="32"/>
          <w:szCs w:val="32"/>
        </w:rPr>
        <w:t>AGGREGEREDE STATISTISKE DATA OM FINANSTILSYNET</w:t>
      </w:r>
    </w:p>
    <w:p w14:paraId="3DFF254E" w14:textId="4152A8E8" w:rsidR="00FF03A2" w:rsidRPr="009A6752" w:rsidRDefault="00FF03A2" w:rsidP="00DE6313">
      <w:pPr>
        <w:rPr>
          <w:sz w:val="22"/>
          <w:szCs w:val="22"/>
        </w:rPr>
      </w:pPr>
    </w:p>
    <w:p w14:paraId="6B685DC8" w14:textId="77777777" w:rsidR="009A6752" w:rsidRPr="009A6752" w:rsidRDefault="009A6752" w:rsidP="00A16177">
      <w:pPr>
        <w:spacing w:line="276" w:lineRule="auto"/>
        <w:rPr>
          <w:b/>
          <w:bCs/>
          <w:i/>
          <w:iCs/>
          <w:sz w:val="16"/>
          <w:szCs w:val="16"/>
        </w:rPr>
      </w:pPr>
    </w:p>
    <w:p w14:paraId="29245A2A" w14:textId="61C205E0" w:rsidR="002A47FC" w:rsidRPr="00A16177" w:rsidRDefault="002A47FC" w:rsidP="00A16177">
      <w:pPr>
        <w:spacing w:line="276" w:lineRule="auto"/>
        <w:rPr>
          <w:b/>
          <w:bCs/>
          <w:i/>
          <w:iCs/>
          <w:sz w:val="23"/>
          <w:szCs w:val="23"/>
        </w:rPr>
      </w:pPr>
      <w:r w:rsidRPr="00A16177">
        <w:rPr>
          <w:b/>
          <w:bCs/>
          <w:i/>
          <w:iCs/>
          <w:sz w:val="23"/>
          <w:szCs w:val="23"/>
        </w:rPr>
        <w:t>B1a – Tilsynsmyndighedens opbygning</w:t>
      </w:r>
    </w:p>
    <w:p w14:paraId="72A3D54C" w14:textId="77777777" w:rsidR="002A47FC" w:rsidRPr="002A47FC" w:rsidRDefault="002A47FC" w:rsidP="00A16177">
      <w:pPr>
        <w:spacing w:line="276" w:lineRule="auto"/>
        <w:rPr>
          <w:sz w:val="22"/>
          <w:szCs w:val="22"/>
        </w:rPr>
      </w:pPr>
    </w:p>
    <w:p w14:paraId="14AD8AB5" w14:textId="4C70553F" w:rsidR="005C603D" w:rsidRPr="002A47FC" w:rsidRDefault="002A47FC" w:rsidP="00A16177">
      <w:pPr>
        <w:spacing w:line="276" w:lineRule="auto"/>
        <w:rPr>
          <w:sz w:val="22"/>
          <w:szCs w:val="22"/>
        </w:rPr>
      </w:pPr>
      <w:r w:rsidRPr="002A47FC">
        <w:rPr>
          <w:sz w:val="22"/>
          <w:szCs w:val="22"/>
        </w:rPr>
        <w:t>Finanstilsynets organisationsdiagram kan findes</w:t>
      </w:r>
      <w:r w:rsidR="00333652">
        <w:rPr>
          <w:sz w:val="22"/>
          <w:szCs w:val="22"/>
        </w:rPr>
        <w:t xml:space="preserve"> </w:t>
      </w:r>
      <w:hyperlink r:id="rId8" w:history="1">
        <w:r w:rsidR="00333652">
          <w:rPr>
            <w:rStyle w:val="Hyperlink"/>
          </w:rPr>
          <w:t>her</w:t>
        </w:r>
      </w:hyperlink>
      <w:r w:rsidR="005C603D">
        <w:t xml:space="preserve">. </w:t>
      </w:r>
    </w:p>
    <w:p w14:paraId="7052F746" w14:textId="1B26994F" w:rsidR="002A47FC" w:rsidRPr="009A6752" w:rsidRDefault="002A47FC" w:rsidP="00A16177">
      <w:pPr>
        <w:spacing w:line="276" w:lineRule="auto"/>
        <w:rPr>
          <w:sz w:val="22"/>
          <w:szCs w:val="22"/>
        </w:rPr>
      </w:pPr>
    </w:p>
    <w:p w14:paraId="33912194" w14:textId="77777777" w:rsidR="009A6752" w:rsidRPr="009A6752" w:rsidRDefault="009A6752" w:rsidP="00A16177">
      <w:pPr>
        <w:spacing w:line="276" w:lineRule="auto"/>
        <w:rPr>
          <w:sz w:val="16"/>
          <w:szCs w:val="16"/>
        </w:rPr>
      </w:pPr>
    </w:p>
    <w:p w14:paraId="39E531F7" w14:textId="77777777" w:rsidR="002A47FC" w:rsidRPr="00A16177" w:rsidRDefault="002A47FC" w:rsidP="00A16177">
      <w:pPr>
        <w:spacing w:line="276" w:lineRule="auto"/>
        <w:rPr>
          <w:b/>
          <w:bCs/>
          <w:i/>
          <w:iCs/>
          <w:sz w:val="23"/>
          <w:szCs w:val="23"/>
        </w:rPr>
      </w:pPr>
      <w:r w:rsidRPr="00A16177">
        <w:rPr>
          <w:b/>
          <w:bCs/>
          <w:i/>
          <w:iCs/>
          <w:sz w:val="23"/>
          <w:szCs w:val="23"/>
        </w:rPr>
        <w:t>B8a – Kriterier anvendt i forbindelse med anvendelse af kapitaltillæg</w:t>
      </w:r>
    </w:p>
    <w:p w14:paraId="28BA9C2F" w14:textId="77777777" w:rsidR="002A47FC" w:rsidRPr="002A47FC" w:rsidRDefault="002A47FC" w:rsidP="00A16177">
      <w:pPr>
        <w:spacing w:line="276" w:lineRule="auto"/>
        <w:rPr>
          <w:sz w:val="22"/>
          <w:szCs w:val="22"/>
        </w:rPr>
      </w:pPr>
    </w:p>
    <w:p w14:paraId="6C2E7985" w14:textId="1EC0C245" w:rsidR="002A47FC" w:rsidRPr="002A47FC" w:rsidRDefault="002A47FC" w:rsidP="00A16177">
      <w:pPr>
        <w:spacing w:line="276" w:lineRule="auto"/>
        <w:rPr>
          <w:sz w:val="22"/>
          <w:szCs w:val="22"/>
        </w:rPr>
      </w:pPr>
      <w:r w:rsidRPr="002A47FC">
        <w:rPr>
          <w:sz w:val="22"/>
          <w:szCs w:val="22"/>
        </w:rPr>
        <w:t xml:space="preserve">Solvenskapitalkravet vil i de fleste tilfælde afspejle et gruppe 1-forsikringsselskabs risici. Der kan dog forekomme situationer, hvor selskabet har påtaget sig risici, som ikke i passende grad afspejles i solvenskapitalkravet. I disse tilfælde kan Finanstilsynet, når andre tilsynsforanstaltninger er ineffektive eller uhensigtsmæssige, fastsætte et kapitaltillæg. </w:t>
      </w:r>
    </w:p>
    <w:p w14:paraId="4DF8C70C" w14:textId="77777777" w:rsidR="002A47FC" w:rsidRPr="002A47FC" w:rsidRDefault="002A47FC" w:rsidP="00A16177">
      <w:pPr>
        <w:spacing w:line="276" w:lineRule="auto"/>
        <w:rPr>
          <w:sz w:val="22"/>
          <w:szCs w:val="22"/>
        </w:rPr>
      </w:pPr>
    </w:p>
    <w:p w14:paraId="1967F20A" w14:textId="7817AD90" w:rsidR="002A47FC" w:rsidRPr="002A47FC" w:rsidRDefault="002A47FC" w:rsidP="00A16177">
      <w:pPr>
        <w:spacing w:line="276" w:lineRule="auto"/>
        <w:rPr>
          <w:sz w:val="22"/>
          <w:szCs w:val="22"/>
        </w:rPr>
      </w:pPr>
      <w:r w:rsidRPr="002A47FC">
        <w:rPr>
          <w:sz w:val="22"/>
          <w:szCs w:val="22"/>
        </w:rPr>
        <w:t xml:space="preserve">Solvens II-direktivets (direktiv 2009/138/EF) artikel 37 fastlægger, i hvilke tilfælde tilsynsmyndighederne kan fastsætte et kapitalkrav. Bestemmelsen er </w:t>
      </w:r>
      <w:r w:rsidRPr="007D45CC">
        <w:rPr>
          <w:sz w:val="22"/>
          <w:szCs w:val="22"/>
        </w:rPr>
        <w:t xml:space="preserve">gennemført i dansk ret ved § </w:t>
      </w:r>
      <w:r w:rsidR="007D45CC" w:rsidRPr="007D45CC">
        <w:rPr>
          <w:sz w:val="22"/>
          <w:szCs w:val="22"/>
        </w:rPr>
        <w:t>278</w:t>
      </w:r>
      <w:r w:rsidRPr="007D45CC">
        <w:rPr>
          <w:sz w:val="22"/>
          <w:szCs w:val="22"/>
        </w:rPr>
        <w:t xml:space="preserve"> i lov om </w:t>
      </w:r>
      <w:r w:rsidR="007D45CC" w:rsidRPr="007D45CC">
        <w:rPr>
          <w:sz w:val="22"/>
          <w:szCs w:val="22"/>
        </w:rPr>
        <w:t>forsikringsvirksomhed</w:t>
      </w:r>
      <w:r w:rsidRPr="007D45CC">
        <w:rPr>
          <w:sz w:val="22"/>
          <w:szCs w:val="22"/>
        </w:rPr>
        <w:t>, hvorefter Finanstilsynet kan fastsætte et kapitaltillæg i de tilfælde, der er nævnt i bestemmelsens stk. 1, nr. 1-3.</w:t>
      </w:r>
    </w:p>
    <w:p w14:paraId="43BD3157" w14:textId="77777777" w:rsidR="002A47FC" w:rsidRPr="002A47FC" w:rsidRDefault="002A47FC" w:rsidP="00A16177">
      <w:pPr>
        <w:spacing w:line="276" w:lineRule="auto"/>
        <w:rPr>
          <w:sz w:val="22"/>
          <w:szCs w:val="22"/>
        </w:rPr>
      </w:pPr>
    </w:p>
    <w:p w14:paraId="302D43E5" w14:textId="71972C71" w:rsidR="002A47FC" w:rsidRPr="002A47FC" w:rsidRDefault="002A47FC" w:rsidP="00A16177">
      <w:pPr>
        <w:spacing w:line="276" w:lineRule="auto"/>
        <w:rPr>
          <w:sz w:val="22"/>
          <w:szCs w:val="22"/>
        </w:rPr>
      </w:pPr>
      <w:r w:rsidRPr="007D45CC">
        <w:rPr>
          <w:i/>
          <w:iCs/>
          <w:sz w:val="22"/>
          <w:szCs w:val="22"/>
        </w:rPr>
        <w:t>Nr. 1</w:t>
      </w:r>
      <w:r w:rsidRPr="007D45CC">
        <w:rPr>
          <w:sz w:val="22"/>
          <w:szCs w:val="22"/>
        </w:rPr>
        <w:t xml:space="preserve"> omhandler</w:t>
      </w:r>
      <w:r w:rsidRPr="002A47FC">
        <w:rPr>
          <w:sz w:val="22"/>
          <w:szCs w:val="22"/>
        </w:rPr>
        <w:t xml:space="preserve"> de tilfælde, hvor forsikringsselskabets risikoprofil afviger væsentligt fra </w:t>
      </w:r>
      <w:proofErr w:type="spellStart"/>
      <w:r w:rsidRPr="002A47FC">
        <w:rPr>
          <w:sz w:val="22"/>
          <w:szCs w:val="22"/>
        </w:rPr>
        <w:t>forudsætnin-gerne</w:t>
      </w:r>
      <w:proofErr w:type="spellEnd"/>
      <w:r w:rsidRPr="002A47FC">
        <w:rPr>
          <w:sz w:val="22"/>
          <w:szCs w:val="22"/>
        </w:rPr>
        <w:t xml:space="preserve"> for den opgørelsesmetode, som selskabet anvender ved opgørelsen af solvenskapitalkravet, dvs. </w:t>
      </w:r>
      <w:proofErr w:type="spellStart"/>
      <w:r w:rsidRPr="002A47FC">
        <w:rPr>
          <w:sz w:val="22"/>
          <w:szCs w:val="22"/>
        </w:rPr>
        <w:t>for-udsætningerne</w:t>
      </w:r>
      <w:proofErr w:type="spellEnd"/>
      <w:r w:rsidRPr="002A47FC">
        <w:rPr>
          <w:sz w:val="22"/>
          <w:szCs w:val="22"/>
        </w:rPr>
        <w:t xml:space="preserve"> for standardformlen eller en intern model. </w:t>
      </w:r>
    </w:p>
    <w:p w14:paraId="53927C2F" w14:textId="77777777" w:rsidR="002A47FC" w:rsidRPr="002A47FC" w:rsidRDefault="002A47FC" w:rsidP="00A16177">
      <w:pPr>
        <w:spacing w:line="276" w:lineRule="auto"/>
        <w:rPr>
          <w:sz w:val="22"/>
          <w:szCs w:val="22"/>
        </w:rPr>
      </w:pPr>
    </w:p>
    <w:p w14:paraId="306049AF" w14:textId="04DA7728" w:rsidR="002A47FC" w:rsidRPr="002A47FC" w:rsidRDefault="002A47FC" w:rsidP="00A16177">
      <w:pPr>
        <w:spacing w:line="276" w:lineRule="auto"/>
        <w:rPr>
          <w:sz w:val="22"/>
          <w:szCs w:val="22"/>
        </w:rPr>
      </w:pPr>
      <w:r w:rsidRPr="002A47FC">
        <w:rPr>
          <w:sz w:val="22"/>
          <w:szCs w:val="22"/>
        </w:rPr>
        <w:t xml:space="preserve">Finanstilsynet vil </w:t>
      </w:r>
      <w:proofErr w:type="gramStart"/>
      <w:r w:rsidRPr="002A47FC">
        <w:rPr>
          <w:sz w:val="22"/>
          <w:szCs w:val="22"/>
        </w:rPr>
        <w:t>eksempelvis</w:t>
      </w:r>
      <w:proofErr w:type="gramEnd"/>
      <w:r w:rsidRPr="002A47FC">
        <w:rPr>
          <w:sz w:val="22"/>
          <w:szCs w:val="22"/>
        </w:rPr>
        <w:t xml:space="preserve"> fastsætte et kapitaltillæg, når forudsætningerne, der ligger til grund for standardformlen, viser sig ikke at afdække selskabets faktiske risikoprofil, og anvendelsen af standard-formlen dermed ikke giver et retvisende billede af solvenskapitalkravet. Finanstilsynet kan kræve et kapitaltillæg, hvis selskabet i den konkrete situation ikke har mulighed for at nedbringe de relevante risici, og Finanstilsynets krav om at anvende en intern model har vist sig at være uhensigtsmæssigt eller ineffektivt, eller hvor en fuld eller partiel intern model til afhjælpning af afvigelsen er under </w:t>
      </w:r>
      <w:proofErr w:type="spellStart"/>
      <w:r w:rsidRPr="002A47FC">
        <w:rPr>
          <w:sz w:val="22"/>
          <w:szCs w:val="22"/>
        </w:rPr>
        <w:t>udvik-ling</w:t>
      </w:r>
      <w:proofErr w:type="spellEnd"/>
      <w:r w:rsidRPr="002A47FC">
        <w:rPr>
          <w:sz w:val="22"/>
          <w:szCs w:val="22"/>
        </w:rPr>
        <w:t xml:space="preserve">. Det vil være uhensigtsmæssigt at stille krav om, at et selskab anvender en intern model, hvis de anslåede ressourcer, der kræves til udvikling af den interne model, ikke står i passende forhold til </w:t>
      </w:r>
      <w:proofErr w:type="spellStart"/>
      <w:r w:rsidRPr="002A47FC">
        <w:rPr>
          <w:sz w:val="22"/>
          <w:szCs w:val="22"/>
        </w:rPr>
        <w:t>sel-skabets</w:t>
      </w:r>
      <w:proofErr w:type="spellEnd"/>
      <w:r w:rsidRPr="002A47FC">
        <w:rPr>
          <w:sz w:val="22"/>
          <w:szCs w:val="22"/>
        </w:rPr>
        <w:t xml:space="preserve"> risikoprofils afvigelse fra de forudsætninger, der ligger til grund ved opgørelsen af </w:t>
      </w:r>
      <w:proofErr w:type="spellStart"/>
      <w:r w:rsidRPr="002A47FC">
        <w:rPr>
          <w:sz w:val="22"/>
          <w:szCs w:val="22"/>
        </w:rPr>
        <w:t>solvenska-pitalkravet</w:t>
      </w:r>
      <w:proofErr w:type="spellEnd"/>
      <w:r w:rsidRPr="002A47FC">
        <w:rPr>
          <w:sz w:val="22"/>
          <w:szCs w:val="22"/>
        </w:rPr>
        <w:t xml:space="preserve">, jf. artikel 280 i Kommissionens delegerede forordning (EU) 2015/35 af 10. oktober 2014 om supplerende regler til Europa-Parlamentets og Rådets direktiv 2009/138/EF om adgang til og </w:t>
      </w:r>
      <w:proofErr w:type="spellStart"/>
      <w:r w:rsidRPr="002A47FC">
        <w:rPr>
          <w:sz w:val="22"/>
          <w:szCs w:val="22"/>
        </w:rPr>
        <w:t>udø-velse</w:t>
      </w:r>
      <w:proofErr w:type="spellEnd"/>
      <w:r w:rsidRPr="002A47FC">
        <w:rPr>
          <w:sz w:val="22"/>
          <w:szCs w:val="22"/>
        </w:rPr>
        <w:t xml:space="preserve"> af forsikrings og genforsikringsvirksomhed (Solvens II).</w:t>
      </w:r>
    </w:p>
    <w:p w14:paraId="78F795F0" w14:textId="77777777" w:rsidR="002A47FC" w:rsidRPr="002A47FC" w:rsidRDefault="002A47FC" w:rsidP="00A16177">
      <w:pPr>
        <w:spacing w:line="276" w:lineRule="auto"/>
        <w:rPr>
          <w:sz w:val="22"/>
          <w:szCs w:val="22"/>
        </w:rPr>
      </w:pPr>
    </w:p>
    <w:p w14:paraId="4D401072" w14:textId="77777777" w:rsidR="002A47FC" w:rsidRPr="007D45CC" w:rsidRDefault="002A47FC" w:rsidP="00A16177">
      <w:pPr>
        <w:spacing w:line="276" w:lineRule="auto"/>
        <w:rPr>
          <w:sz w:val="22"/>
          <w:szCs w:val="22"/>
        </w:rPr>
      </w:pPr>
      <w:r w:rsidRPr="002A47FC">
        <w:rPr>
          <w:sz w:val="22"/>
          <w:szCs w:val="22"/>
        </w:rPr>
        <w:t xml:space="preserve">Finanstilsynet vil </w:t>
      </w:r>
      <w:proofErr w:type="gramStart"/>
      <w:r w:rsidRPr="002A47FC">
        <w:rPr>
          <w:sz w:val="22"/>
          <w:szCs w:val="22"/>
        </w:rPr>
        <w:t>endvidere</w:t>
      </w:r>
      <w:proofErr w:type="gramEnd"/>
      <w:r w:rsidRPr="002A47FC">
        <w:rPr>
          <w:sz w:val="22"/>
          <w:szCs w:val="22"/>
        </w:rPr>
        <w:t xml:space="preserve"> fastsætte et kapitaltillæg, når de forudsætninger, der ligger til grund for en af selskabet anvendt fuld eller partiel interne model, afviger væsentligt fra den faktiske risikoprofil. Selskabet skal i denne situation først og fremmest forsøge at tilpasse modellen, så de kvantificerbare risici fanges </w:t>
      </w:r>
      <w:r w:rsidRPr="007D45CC">
        <w:rPr>
          <w:sz w:val="22"/>
          <w:szCs w:val="22"/>
        </w:rPr>
        <w:t>tilstrækkeligt i modellen. Hvis det ikke lykkes at tilpasse modellen inden for en passende tidsramme, kan Finanstilsynet kræve et kapitaltillæg. Ved vurderingen af, hvad der er en passende tidsramme, vil Finanstilsynet tage højde for alle relevante faktorer, herunder sandsynlige og alvorlige eventuelle negative indvirkninger på forsikringstagerne og de begunstigede er. Tidsrammen må dog ikke overstige seks måneder, jf. artikel 281 i Kommissionens delegerede forordning (EU) 2015/35</w:t>
      </w:r>
    </w:p>
    <w:p w14:paraId="77DD1CDE" w14:textId="0AC48C1A" w:rsidR="002A47FC" w:rsidRPr="007D45CC" w:rsidRDefault="002A47FC" w:rsidP="00A16177">
      <w:pPr>
        <w:spacing w:line="276" w:lineRule="auto"/>
        <w:rPr>
          <w:sz w:val="22"/>
          <w:szCs w:val="22"/>
        </w:rPr>
      </w:pPr>
      <w:r w:rsidRPr="007D45CC">
        <w:rPr>
          <w:i/>
          <w:iCs/>
          <w:sz w:val="22"/>
          <w:szCs w:val="22"/>
        </w:rPr>
        <w:t>Nr. 2</w:t>
      </w:r>
      <w:r w:rsidRPr="007D45CC">
        <w:rPr>
          <w:sz w:val="22"/>
          <w:szCs w:val="22"/>
        </w:rPr>
        <w:t xml:space="preserve"> omhandler de tilfælde, hvor virksomhedsstyringen afviger væsentligt fra § </w:t>
      </w:r>
      <w:r w:rsidR="007D45CC" w:rsidRPr="007D45CC">
        <w:rPr>
          <w:sz w:val="22"/>
          <w:szCs w:val="22"/>
        </w:rPr>
        <w:t>132</w:t>
      </w:r>
      <w:r w:rsidRPr="007D45CC">
        <w:rPr>
          <w:sz w:val="22"/>
          <w:szCs w:val="22"/>
        </w:rPr>
        <w:t xml:space="preserve"> i lov om </w:t>
      </w:r>
      <w:r w:rsidR="007D45CC" w:rsidRPr="007D45CC">
        <w:rPr>
          <w:sz w:val="22"/>
          <w:szCs w:val="22"/>
        </w:rPr>
        <w:t>forsikrings</w:t>
      </w:r>
      <w:r w:rsidRPr="007D45CC">
        <w:rPr>
          <w:sz w:val="22"/>
          <w:szCs w:val="22"/>
        </w:rPr>
        <w:t>virksomhed. Hvis afvigelsen</w:t>
      </w:r>
      <w:r w:rsidRPr="002A47FC">
        <w:rPr>
          <w:sz w:val="22"/>
          <w:szCs w:val="22"/>
        </w:rPr>
        <w:t xml:space="preserve"> forhindrer selskabet i at sikre en korrekt identifikation, måling, </w:t>
      </w:r>
      <w:r w:rsidRPr="002A47FC">
        <w:rPr>
          <w:sz w:val="22"/>
          <w:szCs w:val="22"/>
        </w:rPr>
        <w:lastRenderedPageBreak/>
        <w:t xml:space="preserve">overvågning, styring og rapportering af de risici, som selskabet er eller vil kunne blive udsat for, og andre </w:t>
      </w:r>
      <w:proofErr w:type="spellStart"/>
      <w:r w:rsidRPr="002A47FC">
        <w:rPr>
          <w:sz w:val="22"/>
          <w:szCs w:val="22"/>
        </w:rPr>
        <w:t>foranstalt-ninger</w:t>
      </w:r>
      <w:proofErr w:type="spellEnd"/>
      <w:r w:rsidRPr="002A47FC">
        <w:rPr>
          <w:sz w:val="22"/>
          <w:szCs w:val="22"/>
        </w:rPr>
        <w:t xml:space="preserve"> ikke har kunnet udbedre manglerne i tilstrækkelig grad inden for en passende tidshorisont, kan</w:t>
      </w:r>
      <w:r>
        <w:rPr>
          <w:sz w:val="22"/>
          <w:szCs w:val="22"/>
        </w:rPr>
        <w:t xml:space="preserve"> </w:t>
      </w:r>
      <w:r w:rsidRPr="007D45CC">
        <w:rPr>
          <w:sz w:val="22"/>
          <w:szCs w:val="22"/>
        </w:rPr>
        <w:t>Finanstilsynet fastsætte et kapitaltillæg.</w:t>
      </w:r>
    </w:p>
    <w:p w14:paraId="78A95C8B" w14:textId="77777777" w:rsidR="002A47FC" w:rsidRPr="007D45CC" w:rsidRDefault="002A47FC" w:rsidP="00A16177">
      <w:pPr>
        <w:spacing w:line="276" w:lineRule="auto"/>
        <w:rPr>
          <w:sz w:val="22"/>
          <w:szCs w:val="22"/>
        </w:rPr>
      </w:pPr>
    </w:p>
    <w:p w14:paraId="14502FEB" w14:textId="68A9E6B3" w:rsidR="002A47FC" w:rsidRDefault="002A47FC" w:rsidP="00A16177">
      <w:pPr>
        <w:spacing w:line="276" w:lineRule="auto"/>
        <w:rPr>
          <w:sz w:val="22"/>
          <w:szCs w:val="22"/>
        </w:rPr>
      </w:pPr>
      <w:r w:rsidRPr="007D45CC">
        <w:rPr>
          <w:i/>
          <w:iCs/>
          <w:sz w:val="22"/>
          <w:szCs w:val="22"/>
        </w:rPr>
        <w:t>Nr. 3</w:t>
      </w:r>
      <w:r w:rsidRPr="007D45CC">
        <w:rPr>
          <w:sz w:val="22"/>
          <w:szCs w:val="22"/>
        </w:rPr>
        <w:t xml:space="preserve"> omhandler de tilfælde, hvor forsikringsselskabets risikoprofil afviger væsentligt fra de </w:t>
      </w:r>
      <w:proofErr w:type="spellStart"/>
      <w:r w:rsidRPr="007D45CC">
        <w:rPr>
          <w:sz w:val="22"/>
          <w:szCs w:val="22"/>
        </w:rPr>
        <w:t>forudsæt-ninger</w:t>
      </w:r>
      <w:proofErr w:type="spellEnd"/>
      <w:r w:rsidRPr="007D45CC">
        <w:rPr>
          <w:sz w:val="22"/>
          <w:szCs w:val="22"/>
        </w:rPr>
        <w:t xml:space="preserve">, der ligger til grund for anvendelsen af en matchtilpasning eller en </w:t>
      </w:r>
      <w:proofErr w:type="spellStart"/>
      <w:r w:rsidRPr="007D45CC">
        <w:rPr>
          <w:sz w:val="22"/>
          <w:szCs w:val="22"/>
        </w:rPr>
        <w:t>volatilitetsjustering</w:t>
      </w:r>
      <w:proofErr w:type="spellEnd"/>
      <w:r w:rsidRPr="007D45CC">
        <w:rPr>
          <w:sz w:val="22"/>
          <w:szCs w:val="22"/>
        </w:rPr>
        <w:t xml:space="preserve"> af den risikofrie rentekurve efter § </w:t>
      </w:r>
      <w:r w:rsidR="007D45CC" w:rsidRPr="007D45CC">
        <w:rPr>
          <w:sz w:val="22"/>
          <w:szCs w:val="22"/>
        </w:rPr>
        <w:t>158</w:t>
      </w:r>
      <w:r w:rsidRPr="007D45CC">
        <w:rPr>
          <w:sz w:val="22"/>
          <w:szCs w:val="22"/>
        </w:rPr>
        <w:t xml:space="preserve">, stk. 2 og 3, i lov om </w:t>
      </w:r>
      <w:r w:rsidR="007D45CC" w:rsidRPr="007D45CC">
        <w:rPr>
          <w:sz w:val="22"/>
          <w:szCs w:val="22"/>
        </w:rPr>
        <w:t>forsikrings</w:t>
      </w:r>
      <w:r w:rsidRPr="007D45CC">
        <w:rPr>
          <w:sz w:val="22"/>
          <w:szCs w:val="22"/>
        </w:rPr>
        <w:t>virksomhed. Det</w:t>
      </w:r>
      <w:r w:rsidRPr="002A47FC">
        <w:rPr>
          <w:sz w:val="22"/>
          <w:szCs w:val="22"/>
        </w:rPr>
        <w:t xml:space="preserve"> kan her være relevant for Finans tilsynet at stille krav om et kapitaltillæg for at sikre, at solvenskapitalkravet afspejler de risici, som </w:t>
      </w:r>
      <w:proofErr w:type="spellStart"/>
      <w:r w:rsidRPr="002A47FC">
        <w:rPr>
          <w:sz w:val="22"/>
          <w:szCs w:val="22"/>
        </w:rPr>
        <w:t>selska</w:t>
      </w:r>
      <w:proofErr w:type="spellEnd"/>
      <w:r w:rsidRPr="002A47FC">
        <w:rPr>
          <w:sz w:val="22"/>
          <w:szCs w:val="22"/>
        </w:rPr>
        <w:t xml:space="preserve"> bet er udsat for.</w:t>
      </w:r>
    </w:p>
    <w:p w14:paraId="0C2BE33A" w14:textId="77777777" w:rsidR="002A47FC" w:rsidRPr="002A47FC" w:rsidRDefault="002A47FC" w:rsidP="00A16177">
      <w:pPr>
        <w:spacing w:line="276" w:lineRule="auto"/>
        <w:rPr>
          <w:sz w:val="22"/>
          <w:szCs w:val="22"/>
        </w:rPr>
      </w:pPr>
    </w:p>
    <w:p w14:paraId="1A5D0A58" w14:textId="59044488" w:rsidR="002A47FC" w:rsidRDefault="002A47FC" w:rsidP="00A16177">
      <w:pPr>
        <w:spacing w:line="276" w:lineRule="auto"/>
        <w:rPr>
          <w:sz w:val="22"/>
          <w:szCs w:val="22"/>
        </w:rPr>
      </w:pPr>
      <w:r w:rsidRPr="002A47FC">
        <w:rPr>
          <w:sz w:val="22"/>
          <w:szCs w:val="22"/>
        </w:rPr>
        <w:t>Ved vurderingen af, om der er tale om en væsentlig afvigelse, tager Finanstilsynet højde for de</w:t>
      </w:r>
      <w:r>
        <w:rPr>
          <w:sz w:val="22"/>
          <w:szCs w:val="22"/>
        </w:rPr>
        <w:t xml:space="preserve"> </w:t>
      </w:r>
      <w:r w:rsidRPr="002A47FC">
        <w:rPr>
          <w:sz w:val="22"/>
          <w:szCs w:val="22"/>
        </w:rPr>
        <w:t xml:space="preserve">faktorer, der er </w:t>
      </w:r>
      <w:r w:rsidRPr="007D45CC">
        <w:rPr>
          <w:sz w:val="22"/>
          <w:szCs w:val="22"/>
        </w:rPr>
        <w:t>fastsat i artikel 276-278 i Kommissionens</w:t>
      </w:r>
      <w:r w:rsidRPr="002A47FC">
        <w:rPr>
          <w:sz w:val="22"/>
          <w:szCs w:val="22"/>
        </w:rPr>
        <w:t xml:space="preserve"> delegerede forordning (EU) 2015/35. I de tilfælde, hvor det ændrede solvenskapitalkrav overstiger solvenskapitalkravet med 10 % eller mere, vil Finanstilsynet altid vurdere, at selskabets risikoprofil afviger væsentligt fra de antagelser, der ligger til grund for </w:t>
      </w:r>
      <w:proofErr w:type="spellStart"/>
      <w:r w:rsidRPr="002A47FC">
        <w:rPr>
          <w:sz w:val="22"/>
          <w:szCs w:val="22"/>
        </w:rPr>
        <w:t>for-ud</w:t>
      </w:r>
      <w:proofErr w:type="spellEnd"/>
      <w:r w:rsidRPr="002A47FC">
        <w:rPr>
          <w:sz w:val="22"/>
          <w:szCs w:val="22"/>
        </w:rPr>
        <w:t xml:space="preserve"> sætningerne for den opgørelsesmetode, som selskabet anvender ved opgørelsen af </w:t>
      </w:r>
      <w:proofErr w:type="spellStart"/>
      <w:r w:rsidRPr="002A47FC">
        <w:rPr>
          <w:sz w:val="22"/>
          <w:szCs w:val="22"/>
        </w:rPr>
        <w:t>solvenskapi</w:t>
      </w:r>
      <w:proofErr w:type="spellEnd"/>
      <w:r w:rsidRPr="002A47FC">
        <w:rPr>
          <w:sz w:val="22"/>
          <w:szCs w:val="22"/>
        </w:rPr>
        <w:t>-talkravet, medmindre selskabet kan dokumentere, at dette ikke er ti</w:t>
      </w:r>
      <w:r>
        <w:rPr>
          <w:sz w:val="22"/>
          <w:szCs w:val="22"/>
        </w:rPr>
        <w:t>l</w:t>
      </w:r>
      <w:r w:rsidRPr="002A47FC">
        <w:rPr>
          <w:sz w:val="22"/>
          <w:szCs w:val="22"/>
        </w:rPr>
        <w:t xml:space="preserve">fældet, </w:t>
      </w:r>
      <w:r w:rsidRPr="00E30D66">
        <w:rPr>
          <w:sz w:val="22"/>
          <w:szCs w:val="22"/>
        </w:rPr>
        <w:t>jf. artikel 279, stk. 1</w:t>
      </w:r>
      <w:r w:rsidRPr="002A47FC">
        <w:rPr>
          <w:sz w:val="22"/>
          <w:szCs w:val="22"/>
        </w:rPr>
        <w:t xml:space="preserve">, i Kommissionens delegerede forordning (EU) 2015/35. I de tilfælde, hvor det ændrede </w:t>
      </w:r>
      <w:proofErr w:type="spellStart"/>
      <w:r w:rsidRPr="002A47FC">
        <w:rPr>
          <w:sz w:val="22"/>
          <w:szCs w:val="22"/>
        </w:rPr>
        <w:t>solvenskapi</w:t>
      </w:r>
      <w:proofErr w:type="spellEnd"/>
      <w:r w:rsidRPr="002A47FC">
        <w:rPr>
          <w:sz w:val="22"/>
          <w:szCs w:val="22"/>
        </w:rPr>
        <w:t>-talkrav overstiger solvenskapitalkravet med 15 % eller mere, vil Finanstilsynet altid vurdere, at selskabets risikoprofil afviger væsentligt fra de antagelser, der ligger til grund for forudsætningerne for den opgørelsesmetode, som selskabet anvender ved opgørelsen af solvenskapitalkravet, , jf. artikel 279, stk. 2, i Kommissionens de legerede forordning (EU) 2015/35.</w:t>
      </w:r>
    </w:p>
    <w:p w14:paraId="4EF2F00D" w14:textId="61597E64" w:rsidR="002A47FC" w:rsidRDefault="002A47FC" w:rsidP="00A16177">
      <w:pPr>
        <w:spacing w:line="276" w:lineRule="auto"/>
        <w:rPr>
          <w:sz w:val="22"/>
          <w:szCs w:val="22"/>
        </w:rPr>
      </w:pPr>
    </w:p>
    <w:p w14:paraId="10634485" w14:textId="77777777" w:rsidR="009A6752" w:rsidRPr="009A6752" w:rsidRDefault="009A6752" w:rsidP="00A16177">
      <w:pPr>
        <w:spacing w:line="276" w:lineRule="auto"/>
        <w:rPr>
          <w:sz w:val="16"/>
          <w:szCs w:val="16"/>
        </w:rPr>
      </w:pPr>
    </w:p>
    <w:p w14:paraId="7E628118" w14:textId="77777777" w:rsidR="002A47FC" w:rsidRPr="00A16177" w:rsidRDefault="002A47FC" w:rsidP="00A16177">
      <w:pPr>
        <w:spacing w:line="276" w:lineRule="auto"/>
        <w:rPr>
          <w:b/>
          <w:bCs/>
          <w:i/>
          <w:iCs/>
          <w:sz w:val="23"/>
          <w:szCs w:val="23"/>
        </w:rPr>
      </w:pPr>
      <w:r w:rsidRPr="00A16177">
        <w:rPr>
          <w:b/>
          <w:bCs/>
          <w:i/>
          <w:iCs/>
          <w:sz w:val="23"/>
          <w:szCs w:val="23"/>
        </w:rPr>
        <w:t>B8b – Kriterier anvendt i forbindelse med beregning af kapitaltillæg</w:t>
      </w:r>
    </w:p>
    <w:p w14:paraId="0D70672E" w14:textId="77777777" w:rsidR="002A47FC" w:rsidRPr="002A47FC" w:rsidRDefault="002A47FC" w:rsidP="00A16177">
      <w:pPr>
        <w:spacing w:line="276" w:lineRule="auto"/>
        <w:rPr>
          <w:sz w:val="22"/>
          <w:szCs w:val="22"/>
        </w:rPr>
      </w:pPr>
    </w:p>
    <w:p w14:paraId="1BCE7FBA" w14:textId="36D5E766" w:rsidR="002A47FC" w:rsidRPr="002A47FC" w:rsidRDefault="002A47FC" w:rsidP="00A16177">
      <w:pPr>
        <w:spacing w:line="276" w:lineRule="auto"/>
        <w:rPr>
          <w:sz w:val="22"/>
          <w:szCs w:val="22"/>
        </w:rPr>
      </w:pPr>
      <w:r w:rsidRPr="002A47FC">
        <w:rPr>
          <w:sz w:val="22"/>
          <w:szCs w:val="22"/>
        </w:rPr>
        <w:t>Finanstilsynet beregner et kapitaltillæg i henhold til metoderne fastsat i artikel 282-287 i Kommissionens delegerede forordning (EU) 2015/35.</w:t>
      </w:r>
    </w:p>
    <w:p w14:paraId="731C256E" w14:textId="77777777" w:rsidR="002A47FC" w:rsidRDefault="002A47FC" w:rsidP="00A16177">
      <w:pPr>
        <w:spacing w:line="276" w:lineRule="auto"/>
        <w:rPr>
          <w:sz w:val="22"/>
          <w:szCs w:val="22"/>
        </w:rPr>
      </w:pPr>
    </w:p>
    <w:p w14:paraId="76E20EF8" w14:textId="4A52C174" w:rsidR="002A47FC" w:rsidRPr="002A47FC" w:rsidRDefault="002A47FC" w:rsidP="00A16177">
      <w:pPr>
        <w:spacing w:line="276" w:lineRule="auto"/>
        <w:rPr>
          <w:sz w:val="22"/>
          <w:szCs w:val="22"/>
        </w:rPr>
      </w:pPr>
      <w:r w:rsidRPr="002A47FC">
        <w:rPr>
          <w:sz w:val="22"/>
          <w:szCs w:val="22"/>
        </w:rPr>
        <w:t xml:space="preserve">Når Finanstilsynet fastsætter et </w:t>
      </w:r>
      <w:r w:rsidRPr="007D45CC">
        <w:rPr>
          <w:sz w:val="22"/>
          <w:szCs w:val="22"/>
        </w:rPr>
        <w:t xml:space="preserve">kapitaltillæg efter § </w:t>
      </w:r>
      <w:r w:rsidR="007D45CC" w:rsidRPr="007D45CC">
        <w:rPr>
          <w:sz w:val="22"/>
          <w:szCs w:val="22"/>
        </w:rPr>
        <w:t>278</w:t>
      </w:r>
      <w:r w:rsidRPr="007D45CC">
        <w:rPr>
          <w:sz w:val="22"/>
          <w:szCs w:val="22"/>
        </w:rPr>
        <w:t>, stk. 1, nr. 1, i lov om f</w:t>
      </w:r>
      <w:r w:rsidR="007D45CC" w:rsidRPr="007D45CC">
        <w:rPr>
          <w:sz w:val="22"/>
          <w:szCs w:val="22"/>
        </w:rPr>
        <w:t>orsikrings</w:t>
      </w:r>
      <w:r w:rsidRPr="007D45CC">
        <w:rPr>
          <w:sz w:val="22"/>
          <w:szCs w:val="22"/>
        </w:rPr>
        <w:t>virksomhed, beregnes kapitaltillægget i henhold</w:t>
      </w:r>
      <w:r w:rsidRPr="002A47FC">
        <w:rPr>
          <w:sz w:val="22"/>
          <w:szCs w:val="22"/>
        </w:rPr>
        <w:t xml:space="preserve"> til artikel 282 i Kommissionens delegerede forordning (EU) 2015/35som forskellen på et givet tidspunkt mellem</w:t>
      </w:r>
    </w:p>
    <w:p w14:paraId="3831B0B8" w14:textId="5BE68BC5" w:rsidR="002A47FC" w:rsidRPr="002A47FC" w:rsidRDefault="002A47FC" w:rsidP="00A16177">
      <w:pPr>
        <w:pStyle w:val="Listeafsnit"/>
        <w:numPr>
          <w:ilvl w:val="0"/>
          <w:numId w:val="16"/>
        </w:numPr>
        <w:spacing w:line="276" w:lineRule="auto"/>
        <w:rPr>
          <w:sz w:val="22"/>
          <w:szCs w:val="22"/>
        </w:rPr>
      </w:pPr>
      <w:r w:rsidRPr="002A47FC">
        <w:rPr>
          <w:sz w:val="22"/>
          <w:szCs w:val="22"/>
        </w:rPr>
        <w:t xml:space="preserve"> gruppe 1-forsikringsselskabets solvenskapitalkrav uden tidligere eller samtidige kapitaltillæg, som skulle beregnes, hvis enten standardformlen eller den interne model blev ændret med henblik på at afspejle selskabets faktiske risikoprofil samt sikre overensstemmelse mellem </w:t>
      </w:r>
      <w:proofErr w:type="spellStart"/>
      <w:r w:rsidRPr="002A47FC">
        <w:rPr>
          <w:sz w:val="22"/>
          <w:szCs w:val="22"/>
        </w:rPr>
        <w:t>forudsætnin</w:t>
      </w:r>
      <w:proofErr w:type="spellEnd"/>
      <w:r w:rsidRPr="002A47FC">
        <w:rPr>
          <w:sz w:val="22"/>
          <w:szCs w:val="22"/>
        </w:rPr>
        <w:t xml:space="preserve"> gerne bag solvenskapitalkravet og selskabets risikoprofil, og</w:t>
      </w:r>
    </w:p>
    <w:p w14:paraId="655543A8" w14:textId="683D68D5" w:rsidR="002A47FC" w:rsidRPr="002A47FC" w:rsidRDefault="002A47FC" w:rsidP="00A16177">
      <w:pPr>
        <w:pStyle w:val="Listeafsnit"/>
        <w:numPr>
          <w:ilvl w:val="0"/>
          <w:numId w:val="16"/>
        </w:numPr>
        <w:spacing w:line="276" w:lineRule="auto"/>
        <w:rPr>
          <w:sz w:val="22"/>
          <w:szCs w:val="22"/>
        </w:rPr>
      </w:pPr>
      <w:r w:rsidRPr="002A47FC">
        <w:rPr>
          <w:sz w:val="22"/>
          <w:szCs w:val="22"/>
        </w:rPr>
        <w:t xml:space="preserve"> gruppe 1-forsikringsselskabets solvenskapitalkrav med fradrag af tidligere eller samtidige </w:t>
      </w:r>
      <w:proofErr w:type="spellStart"/>
      <w:r w:rsidRPr="002A47FC">
        <w:rPr>
          <w:sz w:val="22"/>
          <w:szCs w:val="22"/>
        </w:rPr>
        <w:t>kapi-tal</w:t>
      </w:r>
      <w:proofErr w:type="spellEnd"/>
      <w:r w:rsidRPr="002A47FC">
        <w:rPr>
          <w:sz w:val="22"/>
          <w:szCs w:val="22"/>
        </w:rPr>
        <w:t xml:space="preserve"> tillæg.</w:t>
      </w:r>
    </w:p>
    <w:p w14:paraId="68B36302" w14:textId="77777777" w:rsidR="002A47FC" w:rsidRDefault="002A47FC" w:rsidP="00A16177">
      <w:pPr>
        <w:spacing w:line="276" w:lineRule="auto"/>
        <w:rPr>
          <w:sz w:val="22"/>
          <w:szCs w:val="22"/>
        </w:rPr>
      </w:pPr>
    </w:p>
    <w:p w14:paraId="35EB74E7" w14:textId="044E64D3" w:rsidR="002A47FC" w:rsidRPr="00A16177" w:rsidRDefault="002A47FC" w:rsidP="00A16177">
      <w:pPr>
        <w:spacing w:line="276" w:lineRule="auto"/>
        <w:rPr>
          <w:sz w:val="22"/>
          <w:szCs w:val="22"/>
        </w:rPr>
      </w:pPr>
      <w:r w:rsidRPr="00A16177">
        <w:rPr>
          <w:sz w:val="22"/>
          <w:szCs w:val="22"/>
        </w:rPr>
        <w:t xml:space="preserve">Ved beregning af beløbet i (a) vil Finanstilsynet identificere de forudsætninger i standardformlen eller den interne model, som selskabets risikoprofil afviger fra, og tilpasse disse til at afspejle selskabets risikoprofil samt sikre overensstemmelse mellem forudsætningerne bag solvenskapitalkravet og selskabets risikoprofil, jf. artikel 283, stk. 1-2, i Kommissionens delegerede forordning (EU) 2015/35. Hvis tilpasningerne ikke er tilstrækkelige eller relevante, vil Finanstilsynet vurdere, om alternative metoder, som går videre end ændring af forudsætninger, kan anvendes, jf. artikel 283, stk. 3, i Kommissionens delegerede forord </w:t>
      </w:r>
      <w:proofErr w:type="spellStart"/>
      <w:r w:rsidRPr="00A16177">
        <w:rPr>
          <w:sz w:val="22"/>
          <w:szCs w:val="22"/>
        </w:rPr>
        <w:t>ning</w:t>
      </w:r>
      <w:proofErr w:type="spellEnd"/>
      <w:r w:rsidRPr="00A16177">
        <w:rPr>
          <w:sz w:val="22"/>
          <w:szCs w:val="22"/>
        </w:rPr>
        <w:t xml:space="preserve"> (EU) 2015/35. Vurderes de alternative metoder at være utilstrækkelige, vil Finanstilsynet foretage beregningen ved at sammenligne solvenskapitalkravene for gruppe </w:t>
      </w:r>
      <w:r w:rsidRPr="00A16177">
        <w:rPr>
          <w:sz w:val="22"/>
          <w:szCs w:val="22"/>
        </w:rPr>
        <w:lastRenderedPageBreak/>
        <w:t xml:space="preserve">1-forsikringsselskaber med lignende risikoprofiler, jf. artikel 283, stk. 5, i Kommissionens delegerede forordning (EU) 2015/35. </w:t>
      </w:r>
    </w:p>
    <w:p w14:paraId="2B94D935" w14:textId="77777777" w:rsidR="005C603D" w:rsidRPr="00A16177" w:rsidRDefault="005C603D" w:rsidP="00A16177">
      <w:pPr>
        <w:spacing w:line="276" w:lineRule="auto"/>
        <w:rPr>
          <w:sz w:val="22"/>
          <w:szCs w:val="22"/>
        </w:rPr>
      </w:pPr>
    </w:p>
    <w:p w14:paraId="721DBC26" w14:textId="6763013A" w:rsidR="002A47FC" w:rsidRPr="002A00F7" w:rsidRDefault="002A47FC" w:rsidP="00A16177">
      <w:pPr>
        <w:spacing w:line="276" w:lineRule="auto"/>
        <w:rPr>
          <w:sz w:val="22"/>
          <w:szCs w:val="22"/>
        </w:rPr>
      </w:pPr>
      <w:r w:rsidRPr="002A00F7">
        <w:rPr>
          <w:sz w:val="22"/>
          <w:szCs w:val="22"/>
        </w:rPr>
        <w:t xml:space="preserve">Når Finanstilsynet fastsætter et kapitaltillæg efter § </w:t>
      </w:r>
      <w:r w:rsidR="002A00F7" w:rsidRPr="002A00F7">
        <w:rPr>
          <w:sz w:val="22"/>
          <w:szCs w:val="22"/>
        </w:rPr>
        <w:t>278</w:t>
      </w:r>
      <w:r w:rsidRPr="002A00F7">
        <w:rPr>
          <w:sz w:val="22"/>
          <w:szCs w:val="22"/>
        </w:rPr>
        <w:t xml:space="preserve">, stk. 1, nr. 2, i lov om </w:t>
      </w:r>
      <w:r w:rsidR="002A00F7" w:rsidRPr="002A00F7">
        <w:rPr>
          <w:sz w:val="22"/>
          <w:szCs w:val="22"/>
        </w:rPr>
        <w:t>forsikrings</w:t>
      </w:r>
      <w:r w:rsidRPr="002A00F7">
        <w:rPr>
          <w:sz w:val="22"/>
          <w:szCs w:val="22"/>
        </w:rPr>
        <w:t xml:space="preserve">virksomhed, beregnes kapitaltillægget i henhold til artikel 286 i Kommissionens delegerede forordning (EU) 2015/35. Der er dermed ikke en nærmere fastsat metode til beregning af et kapitaltillæg i disse tilfælde. Finanstilsynet vil træffe beslutning om kapitaltillæggets størrelse fra sag til sag og ud fra alvorligheden af de mulige indvirkninger som følge af afvigelsen. </w:t>
      </w:r>
    </w:p>
    <w:p w14:paraId="08880321" w14:textId="77777777" w:rsidR="002A47FC" w:rsidRPr="002A00F7" w:rsidRDefault="002A47FC" w:rsidP="00A16177">
      <w:pPr>
        <w:spacing w:line="276" w:lineRule="auto"/>
        <w:rPr>
          <w:sz w:val="22"/>
          <w:szCs w:val="22"/>
        </w:rPr>
      </w:pPr>
    </w:p>
    <w:p w14:paraId="32D5C7B0" w14:textId="7D0261EF" w:rsidR="002A47FC" w:rsidRPr="00A16177" w:rsidRDefault="002A47FC" w:rsidP="00A16177">
      <w:pPr>
        <w:spacing w:line="276" w:lineRule="auto"/>
        <w:rPr>
          <w:sz w:val="22"/>
          <w:szCs w:val="22"/>
        </w:rPr>
      </w:pPr>
      <w:r w:rsidRPr="002A00F7">
        <w:rPr>
          <w:sz w:val="22"/>
          <w:szCs w:val="22"/>
        </w:rPr>
        <w:t xml:space="preserve">Når Finanstilsynet fastsætter et kapitaltillæg efter § </w:t>
      </w:r>
      <w:r w:rsidR="002A00F7" w:rsidRPr="002A00F7">
        <w:rPr>
          <w:sz w:val="22"/>
          <w:szCs w:val="22"/>
        </w:rPr>
        <w:t>278</w:t>
      </w:r>
      <w:r w:rsidRPr="002A00F7">
        <w:rPr>
          <w:sz w:val="22"/>
          <w:szCs w:val="22"/>
        </w:rPr>
        <w:t xml:space="preserve">, stk. 1, nr. 3, i lov om </w:t>
      </w:r>
      <w:r w:rsidR="002A00F7" w:rsidRPr="002A00F7">
        <w:rPr>
          <w:sz w:val="22"/>
          <w:szCs w:val="22"/>
        </w:rPr>
        <w:t>forsikringsvirksomhed</w:t>
      </w:r>
      <w:r w:rsidRPr="002A00F7">
        <w:rPr>
          <w:sz w:val="22"/>
          <w:szCs w:val="22"/>
        </w:rPr>
        <w:t>, beregnes kapitaltillægget i henhold til artikel 284 i Kommissionens delegerede forordning (EU) 2015/35 som summen på</w:t>
      </w:r>
      <w:r w:rsidRPr="00A16177">
        <w:rPr>
          <w:sz w:val="22"/>
          <w:szCs w:val="22"/>
        </w:rPr>
        <w:t xml:space="preserve"> et givet tidspunkt af </w:t>
      </w:r>
    </w:p>
    <w:p w14:paraId="4558C1A1" w14:textId="328A33BF" w:rsidR="002A47FC" w:rsidRPr="00A16177" w:rsidRDefault="002A47FC" w:rsidP="00A16177">
      <w:pPr>
        <w:pStyle w:val="Listeafsnit"/>
        <w:numPr>
          <w:ilvl w:val="0"/>
          <w:numId w:val="17"/>
        </w:numPr>
        <w:spacing w:line="276" w:lineRule="auto"/>
        <w:rPr>
          <w:sz w:val="22"/>
          <w:szCs w:val="22"/>
        </w:rPr>
      </w:pPr>
      <w:r w:rsidRPr="00A16177">
        <w:rPr>
          <w:sz w:val="22"/>
          <w:szCs w:val="22"/>
        </w:rPr>
        <w:t xml:space="preserve">det negative beløb for det anerkendte kapitalgrundlag, som ville fremkomme, hvis matchtilpasning eller </w:t>
      </w:r>
      <w:proofErr w:type="spellStart"/>
      <w:r w:rsidRPr="00A16177">
        <w:rPr>
          <w:sz w:val="22"/>
          <w:szCs w:val="22"/>
        </w:rPr>
        <w:t>volatilitetsjusteringen</w:t>
      </w:r>
      <w:proofErr w:type="spellEnd"/>
      <w:r w:rsidRPr="00A16177">
        <w:rPr>
          <w:sz w:val="22"/>
          <w:szCs w:val="22"/>
        </w:rPr>
        <w:t xml:space="preserve"> blev ændret på en sådan måde, at de antagelser, der ligger til grund herfor, ville svare til selskabets faktiske aktiver, passiver og risikoprofil, </w:t>
      </w:r>
    </w:p>
    <w:p w14:paraId="7430BCCB" w14:textId="77777777" w:rsidR="002A47FC" w:rsidRPr="00A16177" w:rsidRDefault="002A47FC" w:rsidP="00A16177">
      <w:pPr>
        <w:pStyle w:val="Listeafsnit"/>
        <w:numPr>
          <w:ilvl w:val="0"/>
          <w:numId w:val="17"/>
        </w:numPr>
        <w:spacing w:line="276" w:lineRule="auto"/>
        <w:rPr>
          <w:sz w:val="22"/>
          <w:szCs w:val="22"/>
        </w:rPr>
      </w:pPr>
      <w:r w:rsidRPr="00A16177">
        <w:rPr>
          <w:sz w:val="22"/>
          <w:szCs w:val="22"/>
        </w:rPr>
        <w:t xml:space="preserve">solvenskapitalkravet, med fradrag af eventuelt tidligere eller samtidige kapitaltillæg, som ville fremkomme, hvis matchtilpasningen eller </w:t>
      </w:r>
      <w:proofErr w:type="spellStart"/>
      <w:r w:rsidRPr="00A16177">
        <w:rPr>
          <w:sz w:val="22"/>
          <w:szCs w:val="22"/>
        </w:rPr>
        <w:t>volatilitetsjusteringen</w:t>
      </w:r>
      <w:proofErr w:type="spellEnd"/>
      <w:r w:rsidRPr="00A16177">
        <w:rPr>
          <w:sz w:val="22"/>
          <w:szCs w:val="22"/>
        </w:rPr>
        <w:t xml:space="preserve"> blev ændret på en sådan måde, at de antagelser, der ligger til grund herfor, ville svare til selskabets faktiske aktiver, passiver og risikoprofil samt sikre overensstemmelse mellem forudsætningerne bag solvenskapitalkravet og selskabets risikoprofil, </w:t>
      </w:r>
    </w:p>
    <w:p w14:paraId="0E0B951C" w14:textId="77777777" w:rsidR="002A47FC" w:rsidRPr="00A16177" w:rsidRDefault="002A47FC" w:rsidP="00A16177">
      <w:pPr>
        <w:pStyle w:val="Listeafsnit"/>
        <w:numPr>
          <w:ilvl w:val="0"/>
          <w:numId w:val="17"/>
        </w:numPr>
        <w:spacing w:line="276" w:lineRule="auto"/>
        <w:rPr>
          <w:sz w:val="22"/>
          <w:szCs w:val="22"/>
        </w:rPr>
      </w:pPr>
      <w:r w:rsidRPr="00A16177">
        <w:rPr>
          <w:sz w:val="22"/>
          <w:szCs w:val="22"/>
        </w:rPr>
        <w:t xml:space="preserve">det anerkendte kapitalgrundlag og </w:t>
      </w:r>
    </w:p>
    <w:p w14:paraId="30126EFB" w14:textId="77777777" w:rsidR="002A47FC" w:rsidRPr="00A16177" w:rsidRDefault="002A47FC" w:rsidP="00A16177">
      <w:pPr>
        <w:pStyle w:val="Listeafsnit"/>
        <w:numPr>
          <w:ilvl w:val="0"/>
          <w:numId w:val="17"/>
        </w:numPr>
        <w:spacing w:line="276" w:lineRule="auto"/>
        <w:rPr>
          <w:sz w:val="22"/>
          <w:szCs w:val="22"/>
        </w:rPr>
      </w:pPr>
      <w:r w:rsidRPr="00A16177">
        <w:rPr>
          <w:sz w:val="22"/>
          <w:szCs w:val="22"/>
        </w:rPr>
        <w:t xml:space="preserve">det negative beløb for solvenskapitalkravet for selskabet med fradrag af eventuelt tidligere eller samtidige kapitaltillæg. </w:t>
      </w:r>
    </w:p>
    <w:p w14:paraId="2C7F8125" w14:textId="77777777" w:rsidR="002A47FC" w:rsidRPr="00A16177" w:rsidRDefault="002A47FC" w:rsidP="00A16177">
      <w:pPr>
        <w:spacing w:line="276" w:lineRule="auto"/>
        <w:rPr>
          <w:sz w:val="22"/>
          <w:szCs w:val="22"/>
        </w:rPr>
      </w:pPr>
    </w:p>
    <w:p w14:paraId="5941783A" w14:textId="13B3B70C" w:rsidR="002A47FC" w:rsidRPr="00A16177" w:rsidRDefault="002A47FC" w:rsidP="00A16177">
      <w:pPr>
        <w:spacing w:line="276" w:lineRule="auto"/>
        <w:rPr>
          <w:sz w:val="22"/>
          <w:szCs w:val="22"/>
        </w:rPr>
      </w:pPr>
      <w:r w:rsidRPr="00A16177">
        <w:rPr>
          <w:sz w:val="22"/>
          <w:szCs w:val="22"/>
        </w:rPr>
        <w:t xml:space="preserve">Ved beregning af beløbene i (a) og (b) vil Finanstilsynet identificere de egenskaber for selskabets aktiver, passiver og risikoprofil, som har forårsaget afvigelsen fra forudsætningerne for anvendelsen af matchtilpasningen eller </w:t>
      </w:r>
      <w:proofErr w:type="spellStart"/>
      <w:r w:rsidRPr="00A16177">
        <w:rPr>
          <w:sz w:val="22"/>
          <w:szCs w:val="22"/>
        </w:rPr>
        <w:t>volatilitetsjusteringen</w:t>
      </w:r>
      <w:proofErr w:type="spellEnd"/>
      <w:r w:rsidRPr="00A16177">
        <w:rPr>
          <w:sz w:val="22"/>
          <w:szCs w:val="22"/>
        </w:rPr>
        <w:t xml:space="preserve">, jf. artikel 285, stk. 1, i Kommissionens delegerede forordning (EU) 2015/35. Finanstilsynet vil herefter tilpasse forudsætningerne for anvendelsen af matchtilpasningen eller </w:t>
      </w:r>
      <w:proofErr w:type="spellStart"/>
      <w:r w:rsidRPr="00A16177">
        <w:rPr>
          <w:sz w:val="22"/>
          <w:szCs w:val="22"/>
        </w:rPr>
        <w:t>volatilitetsjusteringen</w:t>
      </w:r>
      <w:proofErr w:type="spellEnd"/>
      <w:r w:rsidRPr="00A16177">
        <w:rPr>
          <w:sz w:val="22"/>
          <w:szCs w:val="22"/>
        </w:rPr>
        <w:t xml:space="preserve"> til at afspejle selskabets aktiver, passiver og risikoprofil samt sikre overensstemmelse mellem forudsætningerne bag matchtilpasningen eller </w:t>
      </w:r>
      <w:proofErr w:type="spellStart"/>
      <w:r w:rsidRPr="00A16177">
        <w:rPr>
          <w:sz w:val="22"/>
          <w:szCs w:val="22"/>
        </w:rPr>
        <w:t>volatilitetsjusteringen</w:t>
      </w:r>
      <w:proofErr w:type="spellEnd"/>
      <w:r w:rsidRPr="00A16177">
        <w:rPr>
          <w:sz w:val="22"/>
          <w:szCs w:val="22"/>
        </w:rPr>
        <w:t xml:space="preserve"> og selskabets risikoprofil, jf. artikel 285, stk. 2, i Kommissionens delegerede forordning (EU) 2015/35. </w:t>
      </w:r>
    </w:p>
    <w:p w14:paraId="17E56627" w14:textId="32D43B0D" w:rsidR="002A47FC" w:rsidRPr="009A6752" w:rsidRDefault="002A47FC" w:rsidP="00A16177">
      <w:pPr>
        <w:spacing w:line="276" w:lineRule="auto"/>
        <w:rPr>
          <w:sz w:val="16"/>
          <w:szCs w:val="16"/>
        </w:rPr>
      </w:pPr>
    </w:p>
    <w:p w14:paraId="6466DD19" w14:textId="77777777" w:rsidR="009A6752" w:rsidRPr="00A16177" w:rsidRDefault="009A6752" w:rsidP="00A16177">
      <w:pPr>
        <w:spacing w:line="276" w:lineRule="auto"/>
        <w:rPr>
          <w:sz w:val="22"/>
          <w:szCs w:val="22"/>
        </w:rPr>
      </w:pPr>
    </w:p>
    <w:p w14:paraId="1B1C3CCF" w14:textId="3FAE2C47" w:rsidR="002A47FC" w:rsidRPr="00A16177" w:rsidRDefault="002A47FC" w:rsidP="00A16177">
      <w:pPr>
        <w:spacing w:line="276" w:lineRule="auto"/>
        <w:rPr>
          <w:b/>
          <w:bCs/>
          <w:i/>
          <w:iCs/>
          <w:sz w:val="23"/>
          <w:szCs w:val="23"/>
        </w:rPr>
      </w:pPr>
      <w:r w:rsidRPr="00A16177">
        <w:rPr>
          <w:b/>
          <w:bCs/>
          <w:i/>
          <w:iCs/>
          <w:sz w:val="23"/>
          <w:szCs w:val="23"/>
        </w:rPr>
        <w:t>B8c – Kriterier anvendt i forbindelse med ophævelse af kapitaltillæg</w:t>
      </w:r>
    </w:p>
    <w:p w14:paraId="4860944E" w14:textId="77777777" w:rsidR="002A47FC" w:rsidRPr="00A16177" w:rsidRDefault="002A47FC" w:rsidP="00A16177">
      <w:pPr>
        <w:spacing w:line="276" w:lineRule="auto"/>
        <w:rPr>
          <w:b/>
          <w:bCs/>
          <w:i/>
          <w:iCs/>
          <w:sz w:val="22"/>
          <w:szCs w:val="22"/>
        </w:rPr>
      </w:pPr>
    </w:p>
    <w:p w14:paraId="774D1014" w14:textId="566F6689" w:rsidR="002A47FC" w:rsidRPr="00A16177" w:rsidRDefault="002A47FC" w:rsidP="00A16177">
      <w:pPr>
        <w:spacing w:line="276" w:lineRule="auto"/>
        <w:rPr>
          <w:sz w:val="22"/>
          <w:szCs w:val="22"/>
        </w:rPr>
      </w:pPr>
      <w:r w:rsidRPr="00A16177">
        <w:rPr>
          <w:sz w:val="22"/>
          <w:szCs w:val="22"/>
        </w:rPr>
        <w:t xml:space="preserve">I </w:t>
      </w:r>
      <w:r w:rsidRPr="002A00F7">
        <w:rPr>
          <w:sz w:val="22"/>
          <w:szCs w:val="22"/>
        </w:rPr>
        <w:t xml:space="preserve">henhold til § </w:t>
      </w:r>
      <w:r w:rsidR="002A00F7" w:rsidRPr="002A00F7">
        <w:rPr>
          <w:sz w:val="22"/>
          <w:szCs w:val="22"/>
        </w:rPr>
        <w:t>278,</w:t>
      </w:r>
      <w:r w:rsidRPr="002A00F7">
        <w:rPr>
          <w:sz w:val="22"/>
          <w:szCs w:val="22"/>
        </w:rPr>
        <w:t xml:space="preserve"> stk. 5, i lov om finansiel virksomhed skal Finanstilsynet tage kravet om et kapitaltillæg op til revision mindst én gang årligt med henblik på at afklare, om kapitaltillægget skal opretholdes, ændres eller ophæves.</w:t>
      </w:r>
      <w:r w:rsidRPr="00A16177">
        <w:rPr>
          <w:sz w:val="22"/>
          <w:szCs w:val="22"/>
        </w:rPr>
        <w:t xml:space="preserve"> </w:t>
      </w:r>
    </w:p>
    <w:p w14:paraId="4E599484" w14:textId="77777777" w:rsidR="002A47FC" w:rsidRPr="00A16177" w:rsidRDefault="002A47FC" w:rsidP="00A16177">
      <w:pPr>
        <w:spacing w:line="276" w:lineRule="auto"/>
        <w:rPr>
          <w:sz w:val="22"/>
          <w:szCs w:val="22"/>
        </w:rPr>
      </w:pPr>
    </w:p>
    <w:p w14:paraId="66FE3A45" w14:textId="77777777" w:rsidR="000B250F" w:rsidRDefault="002A47FC" w:rsidP="00A16177">
      <w:pPr>
        <w:spacing w:line="276" w:lineRule="auto"/>
        <w:rPr>
          <w:sz w:val="22"/>
          <w:szCs w:val="22"/>
        </w:rPr>
      </w:pPr>
      <w:r w:rsidRPr="00A16177">
        <w:rPr>
          <w:sz w:val="22"/>
          <w:szCs w:val="22"/>
        </w:rPr>
        <w:t xml:space="preserve">Et kapitaltillæg skal opretholdes, så længe der ikke er rettet op på de forhold, der var gældende, da kravet blev indført. Det kan </w:t>
      </w:r>
      <w:proofErr w:type="gramStart"/>
      <w:r w:rsidRPr="00A16177">
        <w:rPr>
          <w:sz w:val="22"/>
          <w:szCs w:val="22"/>
        </w:rPr>
        <w:t>eksempelvis</w:t>
      </w:r>
      <w:proofErr w:type="gramEnd"/>
      <w:r w:rsidRPr="00A16177">
        <w:rPr>
          <w:sz w:val="22"/>
          <w:szCs w:val="22"/>
        </w:rPr>
        <w:t xml:space="preserve"> være, at gruppe 1-forsikringsselskabet har udviklet en partiel intern model for risici, der ikke i tilstrækkelig grad blev afspejlet i opgørelsen af solvenskapitalkravet ved anvendelse af standardformlen.</w:t>
      </w:r>
    </w:p>
    <w:p w14:paraId="3B4A1F88" w14:textId="77777777" w:rsidR="009A6752" w:rsidRDefault="009A6752" w:rsidP="00A16177">
      <w:pPr>
        <w:spacing w:line="276" w:lineRule="auto"/>
        <w:rPr>
          <w:b/>
          <w:bCs/>
          <w:i/>
          <w:iCs/>
          <w:sz w:val="23"/>
          <w:szCs w:val="23"/>
        </w:rPr>
      </w:pPr>
    </w:p>
    <w:p w14:paraId="4DE5D2B4" w14:textId="77777777" w:rsidR="009A6752" w:rsidRDefault="009A6752" w:rsidP="00A16177">
      <w:pPr>
        <w:spacing w:line="276" w:lineRule="auto"/>
        <w:rPr>
          <w:b/>
          <w:bCs/>
          <w:i/>
          <w:iCs/>
          <w:sz w:val="23"/>
          <w:szCs w:val="23"/>
        </w:rPr>
      </w:pPr>
    </w:p>
    <w:p w14:paraId="2E63428C" w14:textId="25A88AE9" w:rsidR="002A47FC" w:rsidRPr="000B250F" w:rsidRDefault="002A47FC" w:rsidP="00A16177">
      <w:pPr>
        <w:spacing w:line="276" w:lineRule="auto"/>
        <w:rPr>
          <w:sz w:val="22"/>
          <w:szCs w:val="22"/>
        </w:rPr>
      </w:pPr>
      <w:r w:rsidRPr="00A16177">
        <w:rPr>
          <w:b/>
          <w:bCs/>
          <w:i/>
          <w:iCs/>
          <w:sz w:val="23"/>
          <w:szCs w:val="23"/>
        </w:rPr>
        <w:lastRenderedPageBreak/>
        <w:t xml:space="preserve">B16b – Vigtigste egenskaber for de godkendte elementer af det supplerende kapitalgrundlag </w:t>
      </w:r>
    </w:p>
    <w:p w14:paraId="6D5BDD27" w14:textId="77777777" w:rsidR="002A47FC" w:rsidRPr="00A16177" w:rsidRDefault="002A47FC" w:rsidP="00A16177">
      <w:pPr>
        <w:spacing w:line="276" w:lineRule="auto"/>
        <w:rPr>
          <w:sz w:val="22"/>
          <w:szCs w:val="22"/>
        </w:rPr>
      </w:pPr>
    </w:p>
    <w:p w14:paraId="2766456E" w14:textId="11DA8F15" w:rsidR="002A47FC" w:rsidRPr="00A16177" w:rsidRDefault="002A47FC" w:rsidP="00A16177">
      <w:pPr>
        <w:spacing w:line="276" w:lineRule="auto"/>
        <w:rPr>
          <w:sz w:val="22"/>
          <w:szCs w:val="22"/>
        </w:rPr>
      </w:pPr>
      <w:r w:rsidRPr="00A16177">
        <w:rPr>
          <w:sz w:val="22"/>
          <w:szCs w:val="22"/>
        </w:rPr>
        <w:t>Finanstilsynet har i 20</w:t>
      </w:r>
      <w:r w:rsidR="000B79A2">
        <w:rPr>
          <w:sz w:val="22"/>
          <w:szCs w:val="22"/>
        </w:rPr>
        <w:t>2</w:t>
      </w:r>
      <w:r w:rsidR="00E30D66">
        <w:rPr>
          <w:sz w:val="22"/>
          <w:szCs w:val="22"/>
        </w:rPr>
        <w:t>4</w:t>
      </w:r>
      <w:r w:rsidRPr="00A16177">
        <w:rPr>
          <w:sz w:val="22"/>
          <w:szCs w:val="22"/>
        </w:rPr>
        <w:t xml:space="preserve"> ikke </w:t>
      </w:r>
      <w:bookmarkStart w:id="0" w:name="_Hlk152321405"/>
      <w:r w:rsidRPr="00A16177">
        <w:rPr>
          <w:sz w:val="22"/>
          <w:szCs w:val="22"/>
        </w:rPr>
        <w:t>godkendt supplerende kapitalgrundlagselementer</w:t>
      </w:r>
      <w:bookmarkEnd w:id="0"/>
      <w:r w:rsidR="00E30D66">
        <w:rPr>
          <w:sz w:val="22"/>
          <w:szCs w:val="22"/>
        </w:rPr>
        <w:t>.</w:t>
      </w:r>
    </w:p>
    <w:p w14:paraId="4CD58126" w14:textId="4858B968" w:rsidR="002A47FC" w:rsidRPr="009A6752" w:rsidRDefault="009A6752" w:rsidP="00A16177">
      <w:pPr>
        <w:spacing w:line="276" w:lineRule="auto"/>
        <w:rPr>
          <w:color w:val="FFFFFF" w:themeColor="background1"/>
          <w:sz w:val="22"/>
          <w:szCs w:val="22"/>
        </w:rPr>
      </w:pPr>
      <w:r w:rsidRPr="009A6752">
        <w:rPr>
          <w:color w:val="FFFFFF" w:themeColor="background1"/>
          <w:sz w:val="16"/>
          <w:szCs w:val="16"/>
        </w:rPr>
        <w:t>.</w:t>
      </w:r>
      <w:r w:rsidR="000B250F" w:rsidRPr="009A6752">
        <w:rPr>
          <w:color w:val="FFFFFF" w:themeColor="background1"/>
          <w:sz w:val="22"/>
          <w:szCs w:val="22"/>
        </w:rPr>
        <w:br/>
      </w:r>
    </w:p>
    <w:p w14:paraId="16B66FE8" w14:textId="0A77B5E6" w:rsidR="002A47FC" w:rsidRPr="00A16177" w:rsidRDefault="002A47FC" w:rsidP="00A16177">
      <w:pPr>
        <w:spacing w:line="276" w:lineRule="auto"/>
        <w:rPr>
          <w:b/>
          <w:bCs/>
          <w:i/>
          <w:iCs/>
          <w:sz w:val="23"/>
          <w:szCs w:val="23"/>
        </w:rPr>
      </w:pPr>
      <w:r w:rsidRPr="00A16177">
        <w:rPr>
          <w:b/>
          <w:bCs/>
          <w:i/>
          <w:iCs/>
          <w:sz w:val="23"/>
          <w:szCs w:val="23"/>
        </w:rPr>
        <w:t>B17b – Vigtigste egenskaber for de godkendte kapitalgrundlagselementer, som ikke er omfattet af de relevante lister i artikel 69, 72, 74, 76 og 78 i delegeret forordning (EU) 2015/35</w:t>
      </w:r>
    </w:p>
    <w:p w14:paraId="0959CDB5" w14:textId="77777777" w:rsidR="002A47FC" w:rsidRPr="00A16177" w:rsidRDefault="002A47FC" w:rsidP="00A16177">
      <w:pPr>
        <w:spacing w:line="276" w:lineRule="auto"/>
        <w:rPr>
          <w:sz w:val="22"/>
          <w:szCs w:val="22"/>
        </w:rPr>
      </w:pPr>
    </w:p>
    <w:p w14:paraId="09FFFF96" w14:textId="1784D09E" w:rsidR="002A47FC" w:rsidRPr="00A16177" w:rsidRDefault="002A47FC" w:rsidP="00A16177">
      <w:pPr>
        <w:spacing w:line="276" w:lineRule="auto"/>
        <w:rPr>
          <w:sz w:val="22"/>
          <w:szCs w:val="22"/>
        </w:rPr>
      </w:pPr>
      <w:r w:rsidRPr="00A16177">
        <w:rPr>
          <w:sz w:val="22"/>
          <w:szCs w:val="22"/>
        </w:rPr>
        <w:t xml:space="preserve">Det </w:t>
      </w:r>
      <w:r w:rsidRPr="00555CCD">
        <w:rPr>
          <w:sz w:val="22"/>
          <w:szCs w:val="22"/>
        </w:rPr>
        <w:t>følger af lov om f</w:t>
      </w:r>
      <w:r w:rsidR="00555CCD" w:rsidRPr="00555CCD">
        <w:rPr>
          <w:sz w:val="22"/>
          <w:szCs w:val="22"/>
        </w:rPr>
        <w:t>orsikrings</w:t>
      </w:r>
      <w:r w:rsidRPr="00555CCD">
        <w:rPr>
          <w:sz w:val="22"/>
          <w:szCs w:val="22"/>
        </w:rPr>
        <w:t xml:space="preserve">virksomhed § </w:t>
      </w:r>
      <w:r w:rsidR="008D046B" w:rsidRPr="00555CCD">
        <w:rPr>
          <w:sz w:val="22"/>
          <w:szCs w:val="22"/>
        </w:rPr>
        <w:t>153</w:t>
      </w:r>
      <w:r w:rsidRPr="00555CCD">
        <w:rPr>
          <w:sz w:val="22"/>
          <w:szCs w:val="22"/>
        </w:rPr>
        <w:t>, stk. 4, at gruppe 1-forsikringsselskaber, der ønsker at anvende anden kapital, skal ansøge om forudgående godkendelse fra Finanstilsynet. Med anden kapital m</w:t>
      </w:r>
      <w:r w:rsidRPr="00A16177">
        <w:rPr>
          <w:sz w:val="22"/>
          <w:szCs w:val="22"/>
        </w:rPr>
        <w:t>enes kapitalelementer, som ikke er omfattet af artikel 69, 72, 74, 76 og 78 i Kommissionens delegerede forordning (EU) 2015/35 af 10. oktober 2014 (herefter ”forordningen”).</w:t>
      </w:r>
    </w:p>
    <w:p w14:paraId="78175F0E" w14:textId="77777777" w:rsidR="002A47FC" w:rsidRPr="00A16177" w:rsidRDefault="002A47FC" w:rsidP="00A16177">
      <w:pPr>
        <w:spacing w:line="276" w:lineRule="auto"/>
        <w:rPr>
          <w:sz w:val="22"/>
          <w:szCs w:val="22"/>
        </w:rPr>
      </w:pPr>
    </w:p>
    <w:p w14:paraId="5C8B2748" w14:textId="5DF55988" w:rsidR="002A47FC" w:rsidRPr="00A16177" w:rsidRDefault="002A47FC" w:rsidP="00A16177">
      <w:pPr>
        <w:spacing w:line="276" w:lineRule="auto"/>
        <w:rPr>
          <w:sz w:val="22"/>
          <w:szCs w:val="22"/>
        </w:rPr>
      </w:pPr>
      <w:r w:rsidRPr="00A16177">
        <w:rPr>
          <w:sz w:val="22"/>
          <w:szCs w:val="22"/>
        </w:rPr>
        <w:t xml:space="preserve">Finanstilsynet har i </w:t>
      </w:r>
      <w:r w:rsidRPr="00555CCD">
        <w:rPr>
          <w:sz w:val="22"/>
          <w:szCs w:val="22"/>
        </w:rPr>
        <w:t xml:space="preserve">overensstemmelse med lov om finansiel virksomhed § </w:t>
      </w:r>
      <w:r w:rsidR="00555CCD" w:rsidRPr="00555CCD">
        <w:rPr>
          <w:sz w:val="22"/>
          <w:szCs w:val="22"/>
        </w:rPr>
        <w:t>153</w:t>
      </w:r>
      <w:r w:rsidRPr="00555CCD">
        <w:rPr>
          <w:sz w:val="22"/>
          <w:szCs w:val="22"/>
        </w:rPr>
        <w:t>, stk. 4, og artikel 79 i forordningen godkendt ”sæ</w:t>
      </w:r>
      <w:r w:rsidRPr="00A16177">
        <w:rPr>
          <w:sz w:val="22"/>
          <w:szCs w:val="22"/>
        </w:rPr>
        <w:t>rlige bonushensættelser (type A)” som et tier 2</w:t>
      </w:r>
      <w:r w:rsidR="00A16177">
        <w:rPr>
          <w:sz w:val="22"/>
          <w:szCs w:val="22"/>
        </w:rPr>
        <w:t>-</w:t>
      </w:r>
      <w:r w:rsidRPr="00A16177">
        <w:rPr>
          <w:sz w:val="22"/>
          <w:szCs w:val="22"/>
        </w:rPr>
        <w:t>kapitalgrundlags</w:t>
      </w:r>
      <w:r w:rsidR="00177CB4">
        <w:rPr>
          <w:sz w:val="22"/>
          <w:szCs w:val="22"/>
        </w:rPr>
        <w:t>-</w:t>
      </w:r>
      <w:r w:rsidRPr="00A16177">
        <w:rPr>
          <w:sz w:val="22"/>
          <w:szCs w:val="22"/>
        </w:rPr>
        <w:t xml:space="preserve">element. Se afgørelsen med den nærmere begrundelse </w:t>
      </w:r>
      <w:hyperlink r:id="rId9" w:history="1">
        <w:r w:rsidR="00333652">
          <w:rPr>
            <w:rStyle w:val="Hyperlink"/>
          </w:rPr>
          <w:t>her</w:t>
        </w:r>
      </w:hyperlink>
      <w:r w:rsidRPr="00A16177">
        <w:rPr>
          <w:sz w:val="22"/>
          <w:szCs w:val="22"/>
        </w:rPr>
        <w:t>.</w:t>
      </w:r>
    </w:p>
    <w:p w14:paraId="17459166" w14:textId="77777777" w:rsidR="002A47FC" w:rsidRPr="00A16177" w:rsidRDefault="002A47FC" w:rsidP="00A16177">
      <w:pPr>
        <w:spacing w:line="276" w:lineRule="auto"/>
        <w:rPr>
          <w:sz w:val="22"/>
          <w:szCs w:val="22"/>
        </w:rPr>
      </w:pPr>
    </w:p>
    <w:p w14:paraId="7BCB677C" w14:textId="6E133B2F" w:rsidR="002A47FC" w:rsidRPr="00A16177" w:rsidRDefault="002A47FC" w:rsidP="00A16177">
      <w:pPr>
        <w:spacing w:line="276" w:lineRule="auto"/>
        <w:rPr>
          <w:sz w:val="22"/>
          <w:szCs w:val="22"/>
        </w:rPr>
      </w:pPr>
      <w:r w:rsidRPr="00A16177">
        <w:rPr>
          <w:sz w:val="22"/>
          <w:szCs w:val="22"/>
        </w:rPr>
        <w:t>Særlige bonushensættelser (type A) vedrører kapital, der opbygges som en del af det realiserede resultat for pensionsordningerne. Kapitalgrundlagselementet er efterstillet tier 1-kapitalgrundlags</w:t>
      </w:r>
      <w:r w:rsidR="00177CB4">
        <w:rPr>
          <w:sz w:val="22"/>
          <w:szCs w:val="22"/>
        </w:rPr>
        <w:t>-</w:t>
      </w:r>
      <w:r w:rsidRPr="00A16177">
        <w:rPr>
          <w:sz w:val="22"/>
          <w:szCs w:val="22"/>
        </w:rPr>
        <w:t>elementer, og er dermed klassificeret som et tier 2-kapitalgrundlagselement. Elementet modtager en markedsbaseret forrentning, der svarer til risikoen for et ansvarligt lån. Kapitalgrundlagselementet indgår i forsikringstagerens genkøbsværdi og er på denne måde tæt tilknyttet til forsikringsforpligtelserne.</w:t>
      </w:r>
    </w:p>
    <w:p w14:paraId="4521BB39" w14:textId="3F42E7E8" w:rsidR="002A47FC" w:rsidRPr="009A6752" w:rsidRDefault="009A6752" w:rsidP="00A16177">
      <w:pPr>
        <w:spacing w:line="276" w:lineRule="auto"/>
        <w:rPr>
          <w:color w:val="FFFFFF" w:themeColor="background1"/>
          <w:sz w:val="22"/>
          <w:szCs w:val="22"/>
        </w:rPr>
      </w:pPr>
      <w:r w:rsidRPr="009A6752">
        <w:rPr>
          <w:color w:val="FFFFFF" w:themeColor="background1"/>
          <w:sz w:val="16"/>
          <w:szCs w:val="16"/>
        </w:rPr>
        <w:t>.</w:t>
      </w:r>
      <w:r w:rsidR="000B250F" w:rsidRPr="009A6752">
        <w:rPr>
          <w:color w:val="FFFFFF" w:themeColor="background1"/>
          <w:sz w:val="22"/>
          <w:szCs w:val="22"/>
        </w:rPr>
        <w:br/>
      </w:r>
    </w:p>
    <w:p w14:paraId="5FB75CAE" w14:textId="788BE6C9" w:rsidR="002A47FC" w:rsidRPr="00A16177" w:rsidRDefault="002A47FC" w:rsidP="00A16177">
      <w:pPr>
        <w:spacing w:line="276" w:lineRule="auto"/>
        <w:rPr>
          <w:b/>
          <w:bCs/>
          <w:i/>
          <w:iCs/>
          <w:sz w:val="23"/>
          <w:szCs w:val="23"/>
        </w:rPr>
      </w:pPr>
      <w:r w:rsidRPr="00A16177">
        <w:rPr>
          <w:b/>
          <w:bCs/>
          <w:i/>
          <w:iCs/>
          <w:sz w:val="23"/>
          <w:szCs w:val="23"/>
        </w:rPr>
        <w:t>B17c – Metode anvendt til at vurdere og klassificere de godkendte kapitalgrundlagselementer, som ikke er omfattet af de relevante lister i artikel 69, 72, 74, 76 og 78 i delegeret forordning (EU) 2015/35</w:t>
      </w:r>
    </w:p>
    <w:p w14:paraId="544F5C40" w14:textId="77777777" w:rsidR="002A47FC" w:rsidRPr="00A16177" w:rsidRDefault="002A47FC" w:rsidP="00A16177">
      <w:pPr>
        <w:spacing w:line="276" w:lineRule="auto"/>
        <w:rPr>
          <w:sz w:val="22"/>
          <w:szCs w:val="22"/>
        </w:rPr>
      </w:pPr>
    </w:p>
    <w:p w14:paraId="02BFEC1D" w14:textId="7C1F9C03" w:rsidR="002A47FC" w:rsidRPr="00A16177" w:rsidRDefault="002A47FC" w:rsidP="00177CB4">
      <w:pPr>
        <w:spacing w:line="276" w:lineRule="auto"/>
        <w:rPr>
          <w:sz w:val="22"/>
          <w:szCs w:val="22"/>
        </w:rPr>
      </w:pPr>
      <w:r w:rsidRPr="00A16177">
        <w:rPr>
          <w:sz w:val="22"/>
          <w:szCs w:val="22"/>
        </w:rPr>
        <w:t xml:space="preserve">Ansøgninger om godkendelse af et kapitalgrundlagselement, som ikke er omfattet af de relevante lister i artikel 69, 72, 74, 76 og 78 i Kommissionens delegerede forordning (EU) 2015/35 (herefter ”forordningen”) modtages på blanketten ”Ansøgning om godkendelse af vurdering og klassificering af kapitalelementer, der ikke fremgår af Kommissionens liste”, som er udarbejdet af Finanstilsynet. Blanketten kan findes </w:t>
      </w:r>
      <w:hyperlink r:id="rId10" w:history="1">
        <w:r w:rsidR="00333652">
          <w:rPr>
            <w:rStyle w:val="Hyperlink"/>
          </w:rPr>
          <w:t>her</w:t>
        </w:r>
      </w:hyperlink>
      <w:r w:rsidRPr="00A16177">
        <w:rPr>
          <w:sz w:val="22"/>
          <w:szCs w:val="22"/>
        </w:rPr>
        <w:t>. I ansøgningen skal indgå en klar beskrivelse af kapitalgrundlagselemen</w:t>
      </w:r>
      <w:r w:rsidR="00177CB4">
        <w:rPr>
          <w:sz w:val="22"/>
          <w:szCs w:val="22"/>
        </w:rPr>
        <w:softHyphen/>
      </w:r>
      <w:r w:rsidRPr="00A16177">
        <w:rPr>
          <w:sz w:val="22"/>
          <w:szCs w:val="22"/>
        </w:rPr>
        <w:t>tet, der sætter Finanstilsynet i stand til at vurdere elementets tabsabsorberingsevne. Herudover skal ansøgeren dokumentere, at kapitalgrundlagselementet pr. ansøgningsdatoen opfylder kriteri</w:t>
      </w:r>
      <w:r w:rsidR="00177CB4">
        <w:rPr>
          <w:sz w:val="22"/>
          <w:szCs w:val="22"/>
        </w:rPr>
        <w:softHyphen/>
      </w:r>
      <w:r w:rsidRPr="00A16177">
        <w:rPr>
          <w:sz w:val="22"/>
          <w:szCs w:val="22"/>
        </w:rPr>
        <w:t>erne i §§ 4 og 5 i bekendtgørelse om opgørelse af kapitalgrundlag for gruppe 1</w:t>
      </w:r>
      <w:r w:rsidR="00177CB4">
        <w:rPr>
          <w:sz w:val="22"/>
          <w:szCs w:val="22"/>
        </w:rPr>
        <w:t>-</w:t>
      </w:r>
      <w:r w:rsidRPr="00A16177">
        <w:rPr>
          <w:sz w:val="22"/>
          <w:szCs w:val="22"/>
        </w:rPr>
        <w:t>forsikrings</w:t>
      </w:r>
      <w:r w:rsidR="00177CB4">
        <w:rPr>
          <w:sz w:val="22"/>
          <w:szCs w:val="22"/>
        </w:rPr>
        <w:t>-</w:t>
      </w:r>
      <w:r w:rsidRPr="00A16177">
        <w:rPr>
          <w:sz w:val="22"/>
          <w:szCs w:val="22"/>
        </w:rPr>
        <w:t>selskaber m.v. samt faktorerne i artikel 71, 73 eller 77 i forordningen. Endelig skal det dokumenteres, at ansøgningen er godkendt af ansøgerens bestyrelse.</w:t>
      </w:r>
    </w:p>
    <w:p w14:paraId="0726085E" w14:textId="77777777" w:rsidR="002A47FC" w:rsidRPr="00A16177" w:rsidRDefault="002A47FC" w:rsidP="00A16177">
      <w:pPr>
        <w:spacing w:line="276" w:lineRule="auto"/>
        <w:rPr>
          <w:sz w:val="22"/>
          <w:szCs w:val="22"/>
        </w:rPr>
      </w:pPr>
    </w:p>
    <w:p w14:paraId="1B2BCB51" w14:textId="77777777" w:rsidR="009A6752" w:rsidRDefault="002A47FC" w:rsidP="00A16177">
      <w:pPr>
        <w:spacing w:line="276" w:lineRule="auto"/>
        <w:rPr>
          <w:sz w:val="22"/>
          <w:szCs w:val="22"/>
        </w:rPr>
      </w:pPr>
      <w:r w:rsidRPr="00A16177">
        <w:rPr>
          <w:sz w:val="22"/>
          <w:szCs w:val="22"/>
        </w:rPr>
        <w:t xml:space="preserve">Når Finanstilsynet modtager en </w:t>
      </w:r>
      <w:proofErr w:type="gramStart"/>
      <w:r w:rsidRPr="00A16177">
        <w:rPr>
          <w:sz w:val="22"/>
          <w:szCs w:val="22"/>
        </w:rPr>
        <w:t>ansøgning</w:t>
      </w:r>
      <w:proofErr w:type="gramEnd"/>
      <w:r w:rsidRPr="00A16177">
        <w:rPr>
          <w:sz w:val="22"/>
          <w:szCs w:val="22"/>
        </w:rPr>
        <w:t xml:space="preserve"> vurderes denne efter principperne i artikel 93 og 94 i direktiv 2009/138/EF (Solvens II), som gennemført ved §§ 4 og 5 i bekendtgørelse om opgørelse af kap</w:t>
      </w:r>
      <w:r w:rsidR="00177CB4">
        <w:rPr>
          <w:sz w:val="22"/>
          <w:szCs w:val="22"/>
        </w:rPr>
        <w:t>i</w:t>
      </w:r>
      <w:r w:rsidRPr="00A16177">
        <w:rPr>
          <w:sz w:val="22"/>
          <w:szCs w:val="22"/>
        </w:rPr>
        <w:t xml:space="preserve">talgrundlag for gruppe 1-forsikringsselskaber m.v., samt de nærmere uddybende regler i artikel </w:t>
      </w:r>
      <w:r w:rsidRPr="00A16177">
        <w:rPr>
          <w:sz w:val="22"/>
          <w:szCs w:val="22"/>
        </w:rPr>
        <w:lastRenderedPageBreak/>
        <w:t xml:space="preserve">71, 73 og 77 i forordningen. Derudover anvender Finanstilsynet </w:t>
      </w:r>
      <w:proofErr w:type="spellStart"/>
      <w:r w:rsidRPr="00A16177">
        <w:rPr>
          <w:sz w:val="22"/>
          <w:szCs w:val="22"/>
        </w:rPr>
        <w:t>EIOPA’s</w:t>
      </w:r>
      <w:proofErr w:type="spellEnd"/>
      <w:r w:rsidRPr="00A16177">
        <w:rPr>
          <w:sz w:val="22"/>
          <w:szCs w:val="22"/>
        </w:rPr>
        <w:t xml:space="preserve"> retningslinjer for supplerende kapitalgrundlag (14/167) og klassificering af kapitalgrundlag (14/168).</w:t>
      </w:r>
    </w:p>
    <w:p w14:paraId="1DC7BEDD" w14:textId="73017D2B" w:rsidR="002A47FC" w:rsidRPr="00605212" w:rsidRDefault="002A47FC" w:rsidP="00A16177">
      <w:pPr>
        <w:spacing w:line="276" w:lineRule="auto"/>
        <w:rPr>
          <w:sz w:val="22"/>
          <w:szCs w:val="22"/>
        </w:rPr>
      </w:pPr>
      <w:r w:rsidRPr="00A16177">
        <w:rPr>
          <w:b/>
          <w:bCs/>
          <w:i/>
          <w:iCs/>
          <w:sz w:val="23"/>
          <w:szCs w:val="23"/>
        </w:rPr>
        <w:t xml:space="preserve">B18b – Omfang af peer </w:t>
      </w:r>
      <w:proofErr w:type="spellStart"/>
      <w:r w:rsidRPr="00A16177">
        <w:rPr>
          <w:b/>
          <w:bCs/>
          <w:i/>
          <w:iCs/>
          <w:sz w:val="23"/>
          <w:szCs w:val="23"/>
        </w:rPr>
        <w:t>reviews</w:t>
      </w:r>
      <w:proofErr w:type="spellEnd"/>
      <w:r w:rsidRPr="00A16177">
        <w:rPr>
          <w:b/>
          <w:bCs/>
          <w:i/>
          <w:iCs/>
          <w:sz w:val="23"/>
          <w:szCs w:val="23"/>
        </w:rPr>
        <w:t xml:space="preserve"> tilrettelagt og gennemført af EIOPA i henhold til artikel 30 i forordning (EU) nr. 1094/2010, som tilsynsmyndigheden deltog i</w:t>
      </w:r>
    </w:p>
    <w:p w14:paraId="2C5EEF6B" w14:textId="77777777" w:rsidR="002A47FC" w:rsidRPr="00A16177" w:rsidRDefault="002A47FC" w:rsidP="00A16177">
      <w:pPr>
        <w:spacing w:line="276" w:lineRule="auto"/>
        <w:rPr>
          <w:sz w:val="22"/>
          <w:szCs w:val="22"/>
        </w:rPr>
      </w:pPr>
    </w:p>
    <w:p w14:paraId="524FBC17" w14:textId="77777777" w:rsidR="005000E6" w:rsidRDefault="002A47FC" w:rsidP="005000E6">
      <w:pPr>
        <w:spacing w:line="276" w:lineRule="auto"/>
        <w:rPr>
          <w:sz w:val="22"/>
          <w:szCs w:val="22"/>
        </w:rPr>
      </w:pPr>
      <w:r w:rsidRPr="00A16177">
        <w:rPr>
          <w:sz w:val="22"/>
          <w:szCs w:val="22"/>
        </w:rPr>
        <w:t xml:space="preserve">Finanstilsynet deltager i relevant omfang i de peer </w:t>
      </w:r>
      <w:proofErr w:type="spellStart"/>
      <w:r w:rsidRPr="00A16177">
        <w:rPr>
          <w:sz w:val="22"/>
          <w:szCs w:val="22"/>
        </w:rPr>
        <w:t>reviews</w:t>
      </w:r>
      <w:proofErr w:type="spellEnd"/>
      <w:r w:rsidRPr="00A16177">
        <w:rPr>
          <w:sz w:val="22"/>
          <w:szCs w:val="22"/>
        </w:rPr>
        <w:t>, der tilrettelægges og gennemføres af EIOPA.</w:t>
      </w:r>
    </w:p>
    <w:p w14:paraId="1D1BEE6F" w14:textId="77777777" w:rsidR="005000E6" w:rsidRDefault="005000E6" w:rsidP="005000E6">
      <w:pPr>
        <w:spacing w:line="276" w:lineRule="auto"/>
        <w:rPr>
          <w:sz w:val="22"/>
          <w:szCs w:val="22"/>
        </w:rPr>
      </w:pPr>
    </w:p>
    <w:p w14:paraId="4E60C5B3" w14:textId="77777777" w:rsidR="005000E6" w:rsidRDefault="002A47FC" w:rsidP="005000E6">
      <w:pPr>
        <w:spacing w:line="276" w:lineRule="auto"/>
        <w:rPr>
          <w:sz w:val="22"/>
          <w:szCs w:val="22"/>
        </w:rPr>
      </w:pPr>
      <w:r w:rsidRPr="00A16177">
        <w:rPr>
          <w:sz w:val="22"/>
          <w:szCs w:val="22"/>
        </w:rPr>
        <w:t xml:space="preserve">Til eksempel har Finanstilsynet tidligere deltaget i </w:t>
      </w:r>
      <w:hyperlink r:id="rId11" w:history="1">
        <w:r w:rsidR="005C603D" w:rsidRPr="00A16177">
          <w:rPr>
            <w:rStyle w:val="Hyperlink"/>
            <w:i/>
            <w:iCs/>
            <w:sz w:val="22"/>
            <w:szCs w:val="22"/>
          </w:rPr>
          <w:t xml:space="preserve">Peer </w:t>
        </w:r>
        <w:proofErr w:type="spellStart"/>
        <w:r w:rsidR="005C603D" w:rsidRPr="00A16177">
          <w:rPr>
            <w:rStyle w:val="Hyperlink"/>
            <w:i/>
            <w:iCs/>
            <w:sz w:val="22"/>
            <w:szCs w:val="22"/>
          </w:rPr>
          <w:t>review</w:t>
        </w:r>
        <w:proofErr w:type="spellEnd"/>
        <w:r w:rsidR="005C603D" w:rsidRPr="00A16177">
          <w:rPr>
            <w:rStyle w:val="Hyperlink"/>
            <w:i/>
            <w:iCs/>
            <w:sz w:val="22"/>
            <w:szCs w:val="22"/>
          </w:rPr>
          <w:t xml:space="preserve"> om præansøgning for anvendelse af interne modeller</w:t>
        </w:r>
      </w:hyperlink>
      <w:r w:rsidR="00EC5B18" w:rsidRPr="00A16177">
        <w:rPr>
          <w:sz w:val="22"/>
          <w:szCs w:val="22"/>
        </w:rPr>
        <w:t xml:space="preserve"> </w:t>
      </w:r>
      <w:r w:rsidRPr="00A16177">
        <w:rPr>
          <w:sz w:val="22"/>
          <w:szCs w:val="22"/>
        </w:rPr>
        <w:t xml:space="preserve">(dateret 18. juli 2013) og </w:t>
      </w:r>
      <w:hyperlink r:id="rId12" w:history="1">
        <w:r w:rsidR="00EC5B18" w:rsidRPr="00A16177">
          <w:rPr>
            <w:rStyle w:val="Hyperlink"/>
            <w:i/>
            <w:iCs/>
            <w:sz w:val="22"/>
            <w:szCs w:val="22"/>
          </w:rPr>
          <w:t xml:space="preserve">Opfølgende Peer Review om præansøgning for </w:t>
        </w:r>
        <w:proofErr w:type="spellStart"/>
        <w:r w:rsidR="00EC5B18" w:rsidRPr="00A16177">
          <w:rPr>
            <w:rStyle w:val="Hyperlink"/>
            <w:i/>
            <w:iCs/>
            <w:sz w:val="22"/>
            <w:szCs w:val="22"/>
          </w:rPr>
          <w:t>anvan</w:t>
        </w:r>
        <w:r w:rsidR="00177CB4">
          <w:rPr>
            <w:rStyle w:val="Hyperlink"/>
            <w:i/>
            <w:iCs/>
            <w:sz w:val="22"/>
            <w:szCs w:val="22"/>
          </w:rPr>
          <w:softHyphen/>
        </w:r>
        <w:r w:rsidR="00EC5B18" w:rsidRPr="00A16177">
          <w:rPr>
            <w:rStyle w:val="Hyperlink"/>
            <w:i/>
            <w:iCs/>
            <w:sz w:val="22"/>
            <w:szCs w:val="22"/>
          </w:rPr>
          <w:t>delse</w:t>
        </w:r>
        <w:proofErr w:type="spellEnd"/>
        <w:r w:rsidR="00EC5B18" w:rsidRPr="00A16177">
          <w:rPr>
            <w:rStyle w:val="Hyperlink"/>
            <w:i/>
            <w:iCs/>
            <w:sz w:val="22"/>
            <w:szCs w:val="22"/>
          </w:rPr>
          <w:t xml:space="preserve"> af interne modeller</w:t>
        </w:r>
      </w:hyperlink>
      <w:r w:rsidR="00EC5B18" w:rsidRPr="00A16177">
        <w:rPr>
          <w:sz w:val="22"/>
          <w:szCs w:val="22"/>
        </w:rPr>
        <w:t xml:space="preserve"> </w:t>
      </w:r>
      <w:r w:rsidRPr="00A16177">
        <w:rPr>
          <w:sz w:val="22"/>
          <w:szCs w:val="22"/>
        </w:rPr>
        <w:t>(dateret 17. december 2014).</w:t>
      </w:r>
    </w:p>
    <w:p w14:paraId="52B93D40" w14:textId="77777777" w:rsidR="005000E6" w:rsidRDefault="005000E6" w:rsidP="005000E6">
      <w:pPr>
        <w:spacing w:line="276" w:lineRule="auto"/>
        <w:rPr>
          <w:sz w:val="22"/>
          <w:szCs w:val="22"/>
        </w:rPr>
      </w:pPr>
    </w:p>
    <w:p w14:paraId="4ABDBC8C" w14:textId="149073BB" w:rsidR="007000EB" w:rsidRDefault="002A47FC" w:rsidP="00333652">
      <w:pPr>
        <w:spacing w:line="276" w:lineRule="auto"/>
        <w:rPr>
          <w:sz w:val="22"/>
          <w:szCs w:val="22"/>
        </w:rPr>
      </w:pPr>
      <w:r w:rsidRPr="00A16177">
        <w:rPr>
          <w:sz w:val="22"/>
          <w:szCs w:val="22"/>
        </w:rPr>
        <w:t>Finanstilsy</w:t>
      </w:r>
      <w:r w:rsidR="00177CB4">
        <w:rPr>
          <w:sz w:val="22"/>
          <w:szCs w:val="22"/>
        </w:rPr>
        <w:softHyphen/>
      </w:r>
      <w:r w:rsidRPr="00A16177">
        <w:rPr>
          <w:sz w:val="22"/>
          <w:szCs w:val="22"/>
        </w:rPr>
        <w:t xml:space="preserve">net </w:t>
      </w:r>
      <w:r w:rsidR="005000E6">
        <w:rPr>
          <w:sz w:val="22"/>
          <w:szCs w:val="22"/>
        </w:rPr>
        <w:t xml:space="preserve">har de seneste år </w:t>
      </w:r>
      <w:r w:rsidRPr="00A16177">
        <w:rPr>
          <w:sz w:val="22"/>
          <w:szCs w:val="22"/>
        </w:rPr>
        <w:t>bidr</w:t>
      </w:r>
      <w:r w:rsidR="005000E6">
        <w:rPr>
          <w:sz w:val="22"/>
          <w:szCs w:val="22"/>
        </w:rPr>
        <w:t>a</w:t>
      </w:r>
      <w:r w:rsidRPr="00A16177">
        <w:rPr>
          <w:sz w:val="22"/>
          <w:szCs w:val="22"/>
        </w:rPr>
        <w:t>g</w:t>
      </w:r>
      <w:r w:rsidR="005000E6">
        <w:rPr>
          <w:sz w:val="22"/>
          <w:szCs w:val="22"/>
        </w:rPr>
        <w:t>et</w:t>
      </w:r>
      <w:r w:rsidRPr="00A16177">
        <w:rPr>
          <w:sz w:val="22"/>
          <w:szCs w:val="22"/>
        </w:rPr>
        <w:t xml:space="preserve"> til udarbejdelsen af følgende peer </w:t>
      </w:r>
      <w:proofErr w:type="spellStart"/>
      <w:r w:rsidRPr="00A16177">
        <w:rPr>
          <w:sz w:val="22"/>
          <w:szCs w:val="22"/>
        </w:rPr>
        <w:t>reviews</w:t>
      </w:r>
      <w:proofErr w:type="spellEnd"/>
      <w:r w:rsidRPr="00A16177">
        <w:rPr>
          <w:sz w:val="22"/>
          <w:szCs w:val="22"/>
        </w:rPr>
        <w:t>:</w:t>
      </w:r>
    </w:p>
    <w:p w14:paraId="1E750DE0" w14:textId="77777777" w:rsidR="00333652" w:rsidRPr="00333652" w:rsidRDefault="00333652" w:rsidP="00333652">
      <w:pPr>
        <w:spacing w:line="276" w:lineRule="auto"/>
        <w:rPr>
          <w:sz w:val="22"/>
          <w:szCs w:val="22"/>
        </w:rPr>
      </w:pPr>
    </w:p>
    <w:p w14:paraId="05B0785C" w14:textId="77777777" w:rsidR="002A47FC" w:rsidRPr="00D86D7F" w:rsidRDefault="002A47FC" w:rsidP="00A16177">
      <w:pPr>
        <w:pStyle w:val="Listeafsnit"/>
        <w:numPr>
          <w:ilvl w:val="0"/>
          <w:numId w:val="0"/>
        </w:numPr>
        <w:spacing w:line="276" w:lineRule="auto"/>
        <w:ind w:left="720"/>
        <w:rPr>
          <w:sz w:val="22"/>
          <w:szCs w:val="22"/>
        </w:rPr>
      </w:pPr>
    </w:p>
    <w:p w14:paraId="6CDAC181" w14:textId="56D80A28" w:rsidR="002A47FC" w:rsidRPr="00A16177" w:rsidRDefault="002A47FC" w:rsidP="00A16177">
      <w:pPr>
        <w:pStyle w:val="Listeafsnit"/>
        <w:numPr>
          <w:ilvl w:val="0"/>
          <w:numId w:val="18"/>
        </w:numPr>
        <w:spacing w:line="276" w:lineRule="auto"/>
        <w:rPr>
          <w:sz w:val="22"/>
          <w:szCs w:val="22"/>
        </w:rPr>
      </w:pPr>
      <w:r w:rsidRPr="00A16177">
        <w:rPr>
          <w:sz w:val="22"/>
          <w:szCs w:val="22"/>
        </w:rPr>
        <w:t>Peer Review om friheden til at udøve tjenesteydelsesvirksomhed</w:t>
      </w:r>
    </w:p>
    <w:p w14:paraId="3A1DC2C0" w14:textId="77777777" w:rsidR="002A47FC" w:rsidRPr="00FC7241" w:rsidRDefault="002A47FC" w:rsidP="00A16177">
      <w:pPr>
        <w:pStyle w:val="Listeafsnit"/>
        <w:numPr>
          <w:ilvl w:val="0"/>
          <w:numId w:val="0"/>
        </w:numPr>
        <w:spacing w:line="276" w:lineRule="auto"/>
        <w:ind w:left="720"/>
        <w:rPr>
          <w:sz w:val="16"/>
          <w:szCs w:val="16"/>
        </w:rPr>
      </w:pPr>
    </w:p>
    <w:p w14:paraId="31423C8A" w14:textId="77777777" w:rsidR="002A47FC" w:rsidRPr="00A16177" w:rsidRDefault="002A47FC" w:rsidP="00A16177">
      <w:pPr>
        <w:pStyle w:val="Listeafsnit"/>
        <w:numPr>
          <w:ilvl w:val="0"/>
          <w:numId w:val="0"/>
        </w:numPr>
        <w:spacing w:line="276" w:lineRule="auto"/>
        <w:ind w:left="720"/>
        <w:rPr>
          <w:sz w:val="22"/>
          <w:szCs w:val="22"/>
        </w:rPr>
      </w:pPr>
      <w:r w:rsidRPr="00A16177">
        <w:rPr>
          <w:sz w:val="22"/>
          <w:szCs w:val="22"/>
        </w:rPr>
        <w:t>Dato: 29. april 2016</w:t>
      </w:r>
    </w:p>
    <w:p w14:paraId="481344FE" w14:textId="77777777" w:rsidR="002A47FC" w:rsidRPr="00FC7241" w:rsidRDefault="002A47FC" w:rsidP="00A16177">
      <w:pPr>
        <w:pStyle w:val="Listeafsnit"/>
        <w:numPr>
          <w:ilvl w:val="0"/>
          <w:numId w:val="0"/>
        </w:numPr>
        <w:spacing w:line="276" w:lineRule="auto"/>
        <w:ind w:left="720"/>
        <w:rPr>
          <w:sz w:val="16"/>
          <w:szCs w:val="16"/>
        </w:rPr>
      </w:pPr>
    </w:p>
    <w:p w14:paraId="52A9180E" w14:textId="77777777" w:rsidR="00647AD5" w:rsidRPr="00A16177" w:rsidRDefault="002A47FC" w:rsidP="00A16177">
      <w:pPr>
        <w:pStyle w:val="Listeafsnit"/>
        <w:numPr>
          <w:ilvl w:val="0"/>
          <w:numId w:val="0"/>
        </w:numPr>
        <w:spacing w:line="276" w:lineRule="auto"/>
        <w:ind w:left="720"/>
        <w:rPr>
          <w:sz w:val="22"/>
          <w:szCs w:val="22"/>
        </w:rPr>
      </w:pPr>
      <w:r w:rsidRPr="00A16177">
        <w:rPr>
          <w:sz w:val="22"/>
          <w:szCs w:val="22"/>
        </w:rPr>
        <w:t>Referenceperiode: 1. januar 2011 til 31. december 2013</w:t>
      </w:r>
    </w:p>
    <w:p w14:paraId="5058F17D" w14:textId="77777777" w:rsidR="00647AD5" w:rsidRPr="00FC7241" w:rsidRDefault="00647AD5" w:rsidP="00A16177">
      <w:pPr>
        <w:pStyle w:val="Listeafsnit"/>
        <w:numPr>
          <w:ilvl w:val="0"/>
          <w:numId w:val="0"/>
        </w:numPr>
        <w:spacing w:line="276" w:lineRule="auto"/>
        <w:ind w:left="720"/>
        <w:rPr>
          <w:sz w:val="16"/>
          <w:szCs w:val="16"/>
        </w:rPr>
      </w:pPr>
    </w:p>
    <w:p w14:paraId="556F1586" w14:textId="2A6AEA5D" w:rsidR="00647AD5" w:rsidRDefault="002A47FC" w:rsidP="00A16177">
      <w:pPr>
        <w:pStyle w:val="Listeafsnit"/>
        <w:numPr>
          <w:ilvl w:val="0"/>
          <w:numId w:val="0"/>
        </w:numPr>
        <w:spacing w:line="276" w:lineRule="auto"/>
        <w:ind w:left="720"/>
        <w:rPr>
          <w:rStyle w:val="Hyperlink"/>
          <w:sz w:val="22"/>
          <w:szCs w:val="22"/>
          <w:lang w:val="en-US"/>
        </w:rPr>
      </w:pPr>
      <w:r w:rsidRPr="00A16177">
        <w:rPr>
          <w:sz w:val="22"/>
          <w:szCs w:val="22"/>
          <w:lang w:val="en-US"/>
        </w:rPr>
        <w:t>Link:</w:t>
      </w:r>
      <w:r w:rsidR="00647AD5" w:rsidRPr="00A16177">
        <w:rPr>
          <w:sz w:val="22"/>
          <w:szCs w:val="22"/>
          <w:lang w:val="en-US"/>
        </w:rPr>
        <w:t xml:space="preserve"> </w:t>
      </w:r>
      <w:hyperlink r:id="rId13" w:history="1">
        <w:r w:rsidR="00C71770" w:rsidRPr="005000E6">
          <w:rPr>
            <w:rStyle w:val="Hyperlink"/>
            <w:sz w:val="22"/>
            <w:szCs w:val="22"/>
            <w:lang w:val="en-US"/>
          </w:rPr>
          <w:t>Peer review on freedom to provide services (europa.eu)</w:t>
        </w:r>
      </w:hyperlink>
    </w:p>
    <w:p w14:paraId="131C5464" w14:textId="77777777" w:rsidR="00333652" w:rsidRDefault="00333652" w:rsidP="00A16177">
      <w:pPr>
        <w:pStyle w:val="Listeafsnit"/>
        <w:numPr>
          <w:ilvl w:val="0"/>
          <w:numId w:val="0"/>
        </w:numPr>
        <w:spacing w:line="276" w:lineRule="auto"/>
        <w:ind w:left="720"/>
        <w:rPr>
          <w:rStyle w:val="Hyperlink"/>
          <w:sz w:val="22"/>
          <w:szCs w:val="22"/>
          <w:lang w:val="en-US"/>
        </w:rPr>
      </w:pPr>
    </w:p>
    <w:p w14:paraId="5F8185F1" w14:textId="77777777" w:rsidR="00333652" w:rsidRPr="00A16177" w:rsidRDefault="00333652" w:rsidP="00A16177">
      <w:pPr>
        <w:pStyle w:val="Listeafsnit"/>
        <w:numPr>
          <w:ilvl w:val="0"/>
          <w:numId w:val="0"/>
        </w:numPr>
        <w:spacing w:line="276" w:lineRule="auto"/>
        <w:ind w:left="720"/>
        <w:rPr>
          <w:sz w:val="22"/>
          <w:szCs w:val="22"/>
          <w:lang w:val="en-US"/>
        </w:rPr>
      </w:pPr>
    </w:p>
    <w:p w14:paraId="6F7E9444" w14:textId="06FC647E" w:rsidR="00333652" w:rsidRPr="00A16177" w:rsidRDefault="00333652" w:rsidP="00333652">
      <w:pPr>
        <w:pStyle w:val="Listeafsnit"/>
        <w:numPr>
          <w:ilvl w:val="0"/>
          <w:numId w:val="18"/>
        </w:numPr>
        <w:spacing w:line="276" w:lineRule="auto"/>
        <w:rPr>
          <w:sz w:val="22"/>
          <w:szCs w:val="22"/>
        </w:rPr>
      </w:pPr>
      <w:r w:rsidRPr="00A16177">
        <w:rPr>
          <w:sz w:val="22"/>
          <w:szCs w:val="22"/>
        </w:rPr>
        <w:t>Peer Review om tilsynsmyndighedernes deltagelse i tilsynskollegier</w:t>
      </w:r>
    </w:p>
    <w:p w14:paraId="660ADCDA" w14:textId="77777777" w:rsidR="00333652" w:rsidRPr="00FC7241" w:rsidRDefault="00333652" w:rsidP="00333652">
      <w:pPr>
        <w:pStyle w:val="Listeafsnit"/>
        <w:numPr>
          <w:ilvl w:val="0"/>
          <w:numId w:val="0"/>
        </w:numPr>
        <w:spacing w:line="276" w:lineRule="auto"/>
        <w:ind w:left="720"/>
        <w:rPr>
          <w:sz w:val="16"/>
          <w:szCs w:val="16"/>
        </w:rPr>
      </w:pPr>
    </w:p>
    <w:p w14:paraId="49C7839E" w14:textId="77777777" w:rsidR="00333652" w:rsidRPr="007D45CC" w:rsidRDefault="00333652" w:rsidP="00333652">
      <w:pPr>
        <w:pStyle w:val="Listeafsnit"/>
        <w:numPr>
          <w:ilvl w:val="0"/>
          <w:numId w:val="0"/>
        </w:numPr>
        <w:spacing w:line="276" w:lineRule="auto"/>
        <w:ind w:left="720"/>
        <w:rPr>
          <w:sz w:val="22"/>
          <w:szCs w:val="22"/>
          <w:lang w:val="en-US"/>
        </w:rPr>
      </w:pPr>
      <w:r w:rsidRPr="007D45CC">
        <w:rPr>
          <w:sz w:val="22"/>
          <w:szCs w:val="22"/>
          <w:lang w:val="en-US"/>
        </w:rPr>
        <w:t>Dato: 1. august 2016</w:t>
      </w:r>
    </w:p>
    <w:p w14:paraId="061117DF" w14:textId="77777777" w:rsidR="00333652" w:rsidRPr="007D45CC" w:rsidRDefault="00333652" w:rsidP="00333652">
      <w:pPr>
        <w:pStyle w:val="Listeafsnit"/>
        <w:numPr>
          <w:ilvl w:val="0"/>
          <w:numId w:val="0"/>
        </w:numPr>
        <w:spacing w:line="276" w:lineRule="auto"/>
        <w:ind w:left="720"/>
        <w:rPr>
          <w:sz w:val="16"/>
          <w:szCs w:val="16"/>
          <w:lang w:val="en-US"/>
        </w:rPr>
      </w:pPr>
    </w:p>
    <w:p w14:paraId="58CD86D3" w14:textId="77777777" w:rsidR="00333652" w:rsidRPr="007D45CC" w:rsidRDefault="00333652" w:rsidP="00333652">
      <w:pPr>
        <w:pStyle w:val="Listeafsnit"/>
        <w:numPr>
          <w:ilvl w:val="0"/>
          <w:numId w:val="0"/>
        </w:numPr>
        <w:spacing w:line="276" w:lineRule="auto"/>
        <w:ind w:left="720"/>
        <w:rPr>
          <w:sz w:val="22"/>
          <w:szCs w:val="22"/>
          <w:lang w:val="en-US"/>
        </w:rPr>
      </w:pPr>
      <w:proofErr w:type="spellStart"/>
      <w:r w:rsidRPr="007D45CC">
        <w:rPr>
          <w:sz w:val="22"/>
          <w:szCs w:val="22"/>
          <w:lang w:val="en-US"/>
        </w:rPr>
        <w:t>Referenceperiode</w:t>
      </w:r>
      <w:proofErr w:type="spellEnd"/>
      <w:r w:rsidRPr="007D45CC">
        <w:rPr>
          <w:sz w:val="22"/>
          <w:szCs w:val="22"/>
          <w:lang w:val="en-US"/>
        </w:rPr>
        <w:t xml:space="preserve">: September 2012 </w:t>
      </w:r>
      <w:proofErr w:type="spellStart"/>
      <w:r w:rsidRPr="007D45CC">
        <w:rPr>
          <w:sz w:val="22"/>
          <w:szCs w:val="22"/>
          <w:lang w:val="en-US"/>
        </w:rPr>
        <w:t>til</w:t>
      </w:r>
      <w:proofErr w:type="spellEnd"/>
      <w:r w:rsidRPr="007D45CC">
        <w:rPr>
          <w:sz w:val="22"/>
          <w:szCs w:val="22"/>
          <w:lang w:val="en-US"/>
        </w:rPr>
        <w:t xml:space="preserve"> </w:t>
      </w:r>
      <w:proofErr w:type="spellStart"/>
      <w:r w:rsidRPr="007D45CC">
        <w:rPr>
          <w:sz w:val="22"/>
          <w:szCs w:val="22"/>
          <w:lang w:val="en-US"/>
        </w:rPr>
        <w:t>september</w:t>
      </w:r>
      <w:proofErr w:type="spellEnd"/>
      <w:r w:rsidRPr="007D45CC">
        <w:rPr>
          <w:sz w:val="22"/>
          <w:szCs w:val="22"/>
          <w:lang w:val="en-US"/>
        </w:rPr>
        <w:t xml:space="preserve"> 2013</w:t>
      </w:r>
    </w:p>
    <w:p w14:paraId="5FBA2B0F" w14:textId="77777777" w:rsidR="00333652" w:rsidRPr="007D45CC" w:rsidRDefault="00333652" w:rsidP="00333652">
      <w:pPr>
        <w:pStyle w:val="Listeafsnit"/>
        <w:numPr>
          <w:ilvl w:val="0"/>
          <w:numId w:val="0"/>
        </w:numPr>
        <w:spacing w:line="276" w:lineRule="auto"/>
        <w:ind w:left="720"/>
        <w:rPr>
          <w:sz w:val="16"/>
          <w:szCs w:val="16"/>
          <w:lang w:val="en-US"/>
        </w:rPr>
      </w:pPr>
    </w:p>
    <w:p w14:paraId="0412D98F" w14:textId="77777777" w:rsidR="00333652" w:rsidRPr="00E904ED" w:rsidRDefault="00333652" w:rsidP="00333652">
      <w:pPr>
        <w:pStyle w:val="Listeafsnit"/>
        <w:numPr>
          <w:ilvl w:val="0"/>
          <w:numId w:val="0"/>
        </w:numPr>
        <w:spacing w:line="276" w:lineRule="auto"/>
        <w:ind w:left="720"/>
        <w:rPr>
          <w:sz w:val="22"/>
          <w:szCs w:val="22"/>
          <w:lang w:val="en-US"/>
        </w:rPr>
      </w:pPr>
      <w:r w:rsidRPr="00A16177">
        <w:rPr>
          <w:sz w:val="22"/>
          <w:szCs w:val="22"/>
          <w:lang w:val="en-US"/>
        </w:rPr>
        <w:t>Link:</w:t>
      </w:r>
      <w:r w:rsidRPr="005000E6">
        <w:rPr>
          <w:sz w:val="22"/>
          <w:szCs w:val="22"/>
          <w:lang w:val="en-US"/>
        </w:rPr>
        <w:t xml:space="preserve"> </w:t>
      </w:r>
      <w:hyperlink r:id="rId14" w:history="1">
        <w:r w:rsidRPr="005000E6">
          <w:rPr>
            <w:rStyle w:val="Hyperlink"/>
            <w:sz w:val="22"/>
            <w:szCs w:val="22"/>
            <w:lang w:val="en-US"/>
          </w:rPr>
          <w:t>Peer Review on the NCAs’ governance of colleges (europa.eu)</w:t>
        </w:r>
      </w:hyperlink>
    </w:p>
    <w:p w14:paraId="645931B5" w14:textId="62310722" w:rsidR="002A47FC" w:rsidRDefault="002A47FC" w:rsidP="00A16177">
      <w:pPr>
        <w:pStyle w:val="Listeafsnit"/>
        <w:numPr>
          <w:ilvl w:val="0"/>
          <w:numId w:val="0"/>
        </w:numPr>
        <w:spacing w:line="276" w:lineRule="auto"/>
        <w:ind w:left="720"/>
        <w:rPr>
          <w:sz w:val="22"/>
          <w:szCs w:val="22"/>
          <w:lang w:val="en-US"/>
        </w:rPr>
      </w:pPr>
    </w:p>
    <w:p w14:paraId="64BADB5E" w14:textId="77777777" w:rsidR="00333652" w:rsidRPr="00A16177" w:rsidRDefault="00333652" w:rsidP="00A16177">
      <w:pPr>
        <w:pStyle w:val="Listeafsnit"/>
        <w:numPr>
          <w:ilvl w:val="0"/>
          <w:numId w:val="0"/>
        </w:numPr>
        <w:spacing w:line="276" w:lineRule="auto"/>
        <w:ind w:left="720"/>
        <w:rPr>
          <w:sz w:val="22"/>
          <w:szCs w:val="22"/>
          <w:lang w:val="en-US"/>
        </w:rPr>
      </w:pPr>
    </w:p>
    <w:p w14:paraId="11AB5BDA" w14:textId="0083AEDD" w:rsidR="002A47FC" w:rsidRPr="00A16177" w:rsidRDefault="002A47FC" w:rsidP="00A16177">
      <w:pPr>
        <w:pStyle w:val="Listeafsnit"/>
        <w:numPr>
          <w:ilvl w:val="0"/>
          <w:numId w:val="18"/>
        </w:numPr>
        <w:spacing w:line="276" w:lineRule="auto"/>
        <w:rPr>
          <w:sz w:val="22"/>
          <w:szCs w:val="22"/>
        </w:rPr>
      </w:pPr>
      <w:r w:rsidRPr="00A16177">
        <w:rPr>
          <w:sz w:val="22"/>
          <w:szCs w:val="22"/>
        </w:rPr>
        <w:t xml:space="preserve">Peer Review om firmapensionskassers redegørelse for investeringsprincipper </w:t>
      </w:r>
    </w:p>
    <w:p w14:paraId="7C609BE3" w14:textId="77777777" w:rsidR="002A47FC" w:rsidRPr="00FC7241" w:rsidRDefault="002A47FC" w:rsidP="00A16177">
      <w:pPr>
        <w:pStyle w:val="Listeafsnit"/>
        <w:numPr>
          <w:ilvl w:val="0"/>
          <w:numId w:val="0"/>
        </w:numPr>
        <w:spacing w:line="276" w:lineRule="auto"/>
        <w:ind w:left="720"/>
        <w:rPr>
          <w:sz w:val="16"/>
          <w:szCs w:val="16"/>
        </w:rPr>
      </w:pPr>
    </w:p>
    <w:p w14:paraId="2B98F856" w14:textId="77777777" w:rsidR="007602BF" w:rsidRPr="00A16177" w:rsidRDefault="002A47FC" w:rsidP="00A16177">
      <w:pPr>
        <w:pStyle w:val="Listeafsnit"/>
        <w:numPr>
          <w:ilvl w:val="0"/>
          <w:numId w:val="0"/>
        </w:numPr>
        <w:spacing w:line="276" w:lineRule="auto"/>
        <w:ind w:left="720"/>
        <w:rPr>
          <w:sz w:val="22"/>
          <w:szCs w:val="22"/>
        </w:rPr>
      </w:pPr>
      <w:r w:rsidRPr="00A16177">
        <w:rPr>
          <w:sz w:val="22"/>
          <w:szCs w:val="22"/>
        </w:rPr>
        <w:t>Dato: 30. september 2016</w:t>
      </w:r>
    </w:p>
    <w:p w14:paraId="72FE8E19" w14:textId="77777777" w:rsidR="007602BF" w:rsidRPr="00FC7241" w:rsidRDefault="007602BF" w:rsidP="00A16177">
      <w:pPr>
        <w:pStyle w:val="Listeafsnit"/>
        <w:numPr>
          <w:ilvl w:val="0"/>
          <w:numId w:val="0"/>
        </w:numPr>
        <w:spacing w:line="276" w:lineRule="auto"/>
        <w:ind w:left="720"/>
        <w:rPr>
          <w:sz w:val="16"/>
          <w:szCs w:val="16"/>
        </w:rPr>
      </w:pPr>
    </w:p>
    <w:p w14:paraId="566A2347" w14:textId="267BB5EA" w:rsidR="002A47FC" w:rsidRPr="00A16177" w:rsidRDefault="002A47FC" w:rsidP="00A16177">
      <w:pPr>
        <w:pStyle w:val="Listeafsnit"/>
        <w:numPr>
          <w:ilvl w:val="0"/>
          <w:numId w:val="0"/>
        </w:numPr>
        <w:spacing w:line="276" w:lineRule="auto"/>
        <w:ind w:left="720"/>
        <w:rPr>
          <w:sz w:val="22"/>
          <w:szCs w:val="22"/>
        </w:rPr>
      </w:pPr>
      <w:r w:rsidRPr="00A16177">
        <w:rPr>
          <w:sz w:val="22"/>
          <w:szCs w:val="22"/>
        </w:rPr>
        <w:t>Referenceperiode: 2. kvartal 2012 til 2. kvartal 2015</w:t>
      </w:r>
    </w:p>
    <w:p w14:paraId="435C2605" w14:textId="77777777" w:rsidR="002A47FC" w:rsidRPr="00FC7241" w:rsidRDefault="002A47FC" w:rsidP="00A16177">
      <w:pPr>
        <w:pStyle w:val="Listeafsnit"/>
        <w:numPr>
          <w:ilvl w:val="0"/>
          <w:numId w:val="0"/>
        </w:numPr>
        <w:spacing w:line="276" w:lineRule="auto"/>
        <w:ind w:left="720"/>
        <w:rPr>
          <w:sz w:val="16"/>
          <w:szCs w:val="16"/>
        </w:rPr>
      </w:pPr>
    </w:p>
    <w:p w14:paraId="44E7882F" w14:textId="229F3337" w:rsidR="002A47FC" w:rsidRPr="00A16177" w:rsidRDefault="002A47FC" w:rsidP="00A16177">
      <w:pPr>
        <w:pStyle w:val="Listeafsnit"/>
        <w:numPr>
          <w:ilvl w:val="0"/>
          <w:numId w:val="0"/>
        </w:numPr>
        <w:spacing w:line="276" w:lineRule="auto"/>
        <w:ind w:left="720"/>
        <w:rPr>
          <w:sz w:val="22"/>
          <w:szCs w:val="22"/>
          <w:lang w:val="en-US"/>
        </w:rPr>
      </w:pPr>
      <w:r w:rsidRPr="00A16177">
        <w:rPr>
          <w:sz w:val="22"/>
          <w:szCs w:val="22"/>
          <w:lang w:val="en-US"/>
        </w:rPr>
        <w:t>Link:</w:t>
      </w:r>
      <w:r w:rsidR="007000EB" w:rsidRPr="00A16177">
        <w:rPr>
          <w:sz w:val="22"/>
          <w:szCs w:val="22"/>
          <w:lang w:val="en-US"/>
        </w:rPr>
        <w:t xml:space="preserve"> </w:t>
      </w:r>
      <w:hyperlink r:id="rId15" w:history="1">
        <w:r w:rsidR="007000EB" w:rsidRPr="00A16177">
          <w:rPr>
            <w:rStyle w:val="Hyperlink"/>
            <w:sz w:val="22"/>
            <w:szCs w:val="22"/>
            <w:lang w:val="en-US"/>
          </w:rPr>
          <w:t>Peer review of the statement of investment policy principles for IORPs (europa.eu)</w:t>
        </w:r>
      </w:hyperlink>
    </w:p>
    <w:p w14:paraId="7C88F73E" w14:textId="7023894D" w:rsidR="007602BF" w:rsidRDefault="00E904ED" w:rsidP="00A16177">
      <w:pPr>
        <w:pStyle w:val="Listeafsnit"/>
        <w:numPr>
          <w:ilvl w:val="0"/>
          <w:numId w:val="0"/>
        </w:numPr>
        <w:spacing w:line="276" w:lineRule="auto"/>
        <w:ind w:left="720"/>
        <w:rPr>
          <w:sz w:val="22"/>
          <w:szCs w:val="22"/>
          <w:lang w:val="en-US"/>
        </w:rPr>
      </w:pPr>
      <w:r>
        <w:rPr>
          <w:sz w:val="22"/>
          <w:szCs w:val="22"/>
          <w:lang w:val="en-US"/>
        </w:rPr>
        <w:br/>
      </w:r>
    </w:p>
    <w:p w14:paraId="5E39C591" w14:textId="3EED898F" w:rsidR="00E904ED" w:rsidRPr="00605212" w:rsidRDefault="00E904ED" w:rsidP="00E904ED">
      <w:pPr>
        <w:pStyle w:val="Listeafsnit"/>
        <w:numPr>
          <w:ilvl w:val="0"/>
          <w:numId w:val="18"/>
        </w:numPr>
        <w:spacing w:line="276" w:lineRule="auto"/>
        <w:rPr>
          <w:sz w:val="22"/>
          <w:szCs w:val="22"/>
        </w:rPr>
      </w:pPr>
      <w:r w:rsidRPr="00605212">
        <w:rPr>
          <w:sz w:val="22"/>
          <w:szCs w:val="22"/>
        </w:rPr>
        <w:t xml:space="preserve">Peer </w:t>
      </w:r>
      <w:proofErr w:type="spellStart"/>
      <w:r w:rsidRPr="00605212">
        <w:rPr>
          <w:sz w:val="22"/>
          <w:szCs w:val="22"/>
        </w:rPr>
        <w:t>review</w:t>
      </w:r>
      <w:proofErr w:type="spellEnd"/>
      <w:r w:rsidRPr="00605212">
        <w:rPr>
          <w:sz w:val="22"/>
          <w:szCs w:val="22"/>
        </w:rPr>
        <w:t xml:space="preserve"> </w:t>
      </w:r>
      <w:r w:rsidR="00605212" w:rsidRPr="00605212">
        <w:rPr>
          <w:sz w:val="22"/>
          <w:szCs w:val="22"/>
        </w:rPr>
        <w:t>om tilsynspraksis f</w:t>
      </w:r>
      <w:r w:rsidR="00605212">
        <w:rPr>
          <w:sz w:val="22"/>
          <w:szCs w:val="22"/>
        </w:rPr>
        <w:t xml:space="preserve">or anvendelsen af proportionalitetsprincippet på kravene til nøglefunktionerne. </w:t>
      </w:r>
    </w:p>
    <w:p w14:paraId="695D30C0" w14:textId="77777777" w:rsidR="00E904ED" w:rsidRPr="00605212" w:rsidRDefault="00E904ED" w:rsidP="00E904ED">
      <w:pPr>
        <w:pStyle w:val="Listeafsnit"/>
        <w:numPr>
          <w:ilvl w:val="0"/>
          <w:numId w:val="0"/>
        </w:numPr>
        <w:spacing w:line="276" w:lineRule="auto"/>
        <w:ind w:left="720"/>
        <w:rPr>
          <w:sz w:val="16"/>
          <w:szCs w:val="16"/>
        </w:rPr>
      </w:pPr>
    </w:p>
    <w:p w14:paraId="3724373A" w14:textId="473DD8BF" w:rsidR="00E904ED" w:rsidRPr="000B79A2" w:rsidRDefault="00E904ED" w:rsidP="00E904ED">
      <w:pPr>
        <w:pStyle w:val="Listeafsnit"/>
        <w:numPr>
          <w:ilvl w:val="0"/>
          <w:numId w:val="0"/>
        </w:numPr>
        <w:spacing w:line="276" w:lineRule="auto"/>
        <w:ind w:left="720"/>
        <w:rPr>
          <w:sz w:val="22"/>
          <w:szCs w:val="22"/>
          <w:lang w:val="en-US"/>
        </w:rPr>
      </w:pPr>
      <w:r w:rsidRPr="000B79A2">
        <w:rPr>
          <w:sz w:val="22"/>
          <w:szCs w:val="22"/>
          <w:lang w:val="en-US"/>
        </w:rPr>
        <w:t xml:space="preserve">Dato: 1. </w:t>
      </w:r>
      <w:proofErr w:type="spellStart"/>
      <w:r w:rsidRPr="000B79A2">
        <w:rPr>
          <w:sz w:val="22"/>
          <w:szCs w:val="22"/>
          <w:lang w:val="en-US"/>
        </w:rPr>
        <w:t>november</w:t>
      </w:r>
      <w:proofErr w:type="spellEnd"/>
      <w:r w:rsidRPr="000B79A2">
        <w:rPr>
          <w:sz w:val="22"/>
          <w:szCs w:val="22"/>
          <w:lang w:val="en-US"/>
        </w:rPr>
        <w:t xml:space="preserve"> 2018</w:t>
      </w:r>
    </w:p>
    <w:p w14:paraId="0367811E" w14:textId="77777777" w:rsidR="00E904ED" w:rsidRPr="000B79A2" w:rsidRDefault="00E904ED" w:rsidP="00E904ED">
      <w:pPr>
        <w:pStyle w:val="Listeafsnit"/>
        <w:numPr>
          <w:ilvl w:val="0"/>
          <w:numId w:val="0"/>
        </w:numPr>
        <w:spacing w:line="276" w:lineRule="auto"/>
        <w:ind w:left="720"/>
        <w:rPr>
          <w:sz w:val="16"/>
          <w:szCs w:val="16"/>
          <w:lang w:val="en-US"/>
        </w:rPr>
      </w:pPr>
    </w:p>
    <w:p w14:paraId="34D11598" w14:textId="6112A10C" w:rsidR="00E904ED" w:rsidRPr="000B79A2" w:rsidRDefault="00E904ED" w:rsidP="00E904ED">
      <w:pPr>
        <w:pStyle w:val="Listeafsnit"/>
        <w:numPr>
          <w:ilvl w:val="0"/>
          <w:numId w:val="0"/>
        </w:numPr>
        <w:spacing w:line="276" w:lineRule="auto"/>
        <w:ind w:left="720"/>
        <w:rPr>
          <w:sz w:val="22"/>
          <w:szCs w:val="22"/>
          <w:lang w:val="en-US"/>
        </w:rPr>
      </w:pPr>
      <w:proofErr w:type="spellStart"/>
      <w:r w:rsidRPr="000B79A2">
        <w:rPr>
          <w:sz w:val="22"/>
          <w:szCs w:val="22"/>
          <w:lang w:val="en-US"/>
        </w:rPr>
        <w:t>Referenceperiode</w:t>
      </w:r>
      <w:proofErr w:type="spellEnd"/>
      <w:r w:rsidRPr="000B79A2">
        <w:rPr>
          <w:sz w:val="22"/>
          <w:szCs w:val="22"/>
          <w:lang w:val="en-US"/>
        </w:rPr>
        <w:t xml:space="preserve">: 1. </w:t>
      </w:r>
      <w:proofErr w:type="spellStart"/>
      <w:r w:rsidRPr="000B79A2">
        <w:rPr>
          <w:sz w:val="22"/>
          <w:szCs w:val="22"/>
          <w:lang w:val="en-US"/>
        </w:rPr>
        <w:t>Januar</w:t>
      </w:r>
      <w:proofErr w:type="spellEnd"/>
      <w:r w:rsidRPr="000B79A2">
        <w:rPr>
          <w:sz w:val="22"/>
          <w:szCs w:val="22"/>
          <w:lang w:val="en-US"/>
        </w:rPr>
        <w:t xml:space="preserve"> 2016</w:t>
      </w:r>
    </w:p>
    <w:p w14:paraId="54363CD0" w14:textId="77777777" w:rsidR="00E904ED" w:rsidRPr="000B79A2" w:rsidRDefault="00E904ED" w:rsidP="00E904ED">
      <w:pPr>
        <w:pStyle w:val="Listeafsnit"/>
        <w:numPr>
          <w:ilvl w:val="0"/>
          <w:numId w:val="0"/>
        </w:numPr>
        <w:spacing w:line="276" w:lineRule="auto"/>
        <w:ind w:left="720"/>
        <w:rPr>
          <w:sz w:val="16"/>
          <w:szCs w:val="16"/>
          <w:lang w:val="en-US"/>
        </w:rPr>
      </w:pPr>
    </w:p>
    <w:p w14:paraId="6D8E1E59" w14:textId="11C2738D" w:rsidR="005000E6" w:rsidRPr="00605212" w:rsidRDefault="00E904ED" w:rsidP="000B250F">
      <w:pPr>
        <w:pStyle w:val="Listeafsnit"/>
        <w:numPr>
          <w:ilvl w:val="0"/>
          <w:numId w:val="0"/>
        </w:numPr>
        <w:spacing w:line="276" w:lineRule="auto"/>
        <w:ind w:left="720"/>
        <w:rPr>
          <w:lang w:val="en-US"/>
        </w:rPr>
      </w:pPr>
      <w:r w:rsidRPr="00A16177">
        <w:rPr>
          <w:sz w:val="22"/>
          <w:szCs w:val="22"/>
          <w:lang w:val="en-US"/>
        </w:rPr>
        <w:lastRenderedPageBreak/>
        <w:t>Link:</w:t>
      </w:r>
      <w:r w:rsidRPr="005000E6">
        <w:rPr>
          <w:sz w:val="22"/>
          <w:szCs w:val="22"/>
          <w:lang w:val="en-US"/>
        </w:rPr>
        <w:t xml:space="preserve"> </w:t>
      </w:r>
      <w:hyperlink r:id="rId16" w:history="1">
        <w:r w:rsidRPr="005000E6">
          <w:rPr>
            <w:rStyle w:val="Hyperlink"/>
            <w:sz w:val="22"/>
            <w:szCs w:val="22"/>
            <w:lang w:val="en-US"/>
          </w:rPr>
          <w:t>Peer Review of key functions: Supervisory Practices and application in assessing key functions (europa.eu)</w:t>
        </w:r>
      </w:hyperlink>
    </w:p>
    <w:p w14:paraId="623877C6" w14:textId="77777777" w:rsidR="00605212" w:rsidRDefault="00605212" w:rsidP="009A6752">
      <w:pPr>
        <w:spacing w:line="276" w:lineRule="auto"/>
        <w:rPr>
          <w:sz w:val="22"/>
          <w:szCs w:val="22"/>
          <w:lang w:val="en-US"/>
        </w:rPr>
      </w:pPr>
    </w:p>
    <w:p w14:paraId="034B20CA" w14:textId="77777777" w:rsidR="009A6752" w:rsidRPr="009A6752" w:rsidRDefault="009A6752" w:rsidP="009A6752">
      <w:pPr>
        <w:spacing w:line="276" w:lineRule="auto"/>
        <w:rPr>
          <w:sz w:val="22"/>
          <w:szCs w:val="22"/>
          <w:lang w:val="en-US"/>
        </w:rPr>
      </w:pPr>
    </w:p>
    <w:p w14:paraId="34A83A82" w14:textId="60A46A44" w:rsidR="007E0D3E" w:rsidRPr="00605212" w:rsidRDefault="007E0D3E" w:rsidP="007E0D3E">
      <w:pPr>
        <w:pStyle w:val="Listeafsnit"/>
        <w:numPr>
          <w:ilvl w:val="0"/>
          <w:numId w:val="18"/>
        </w:numPr>
        <w:spacing w:line="276" w:lineRule="auto"/>
        <w:rPr>
          <w:sz w:val="22"/>
          <w:szCs w:val="22"/>
        </w:rPr>
      </w:pPr>
      <w:r w:rsidRPr="00605212">
        <w:rPr>
          <w:sz w:val="22"/>
          <w:szCs w:val="22"/>
        </w:rPr>
        <w:t xml:space="preserve">Peer </w:t>
      </w:r>
      <w:proofErr w:type="spellStart"/>
      <w:r w:rsidRPr="00605212">
        <w:rPr>
          <w:sz w:val="22"/>
          <w:szCs w:val="22"/>
        </w:rPr>
        <w:t>review</w:t>
      </w:r>
      <w:proofErr w:type="spellEnd"/>
      <w:r w:rsidRPr="00605212">
        <w:rPr>
          <w:sz w:val="22"/>
          <w:szCs w:val="22"/>
        </w:rPr>
        <w:t xml:space="preserve"> </w:t>
      </w:r>
      <w:r w:rsidR="00605212" w:rsidRPr="00605212">
        <w:rPr>
          <w:sz w:val="22"/>
          <w:szCs w:val="22"/>
        </w:rPr>
        <w:t>om anstændigheden af ​​medlemmer af administrative, ledelses- eller tilsynsorganer og kvalificerede aktionærer</w:t>
      </w:r>
    </w:p>
    <w:p w14:paraId="34D94C9E" w14:textId="77777777" w:rsidR="007E0D3E" w:rsidRPr="00605212" w:rsidRDefault="007E0D3E" w:rsidP="007E0D3E">
      <w:pPr>
        <w:pStyle w:val="Listeafsnit"/>
        <w:numPr>
          <w:ilvl w:val="0"/>
          <w:numId w:val="0"/>
        </w:numPr>
        <w:spacing w:line="276" w:lineRule="auto"/>
        <w:ind w:left="720"/>
        <w:rPr>
          <w:sz w:val="16"/>
          <w:szCs w:val="16"/>
        </w:rPr>
      </w:pPr>
    </w:p>
    <w:p w14:paraId="0F5D1681" w14:textId="6D239FFD" w:rsidR="007E0D3E" w:rsidRPr="007E0D3E" w:rsidRDefault="007E0D3E" w:rsidP="007E0D3E">
      <w:pPr>
        <w:pStyle w:val="Listeafsnit"/>
        <w:numPr>
          <w:ilvl w:val="0"/>
          <w:numId w:val="0"/>
        </w:numPr>
        <w:spacing w:line="276" w:lineRule="auto"/>
        <w:ind w:left="720"/>
        <w:rPr>
          <w:sz w:val="22"/>
          <w:szCs w:val="22"/>
        </w:rPr>
      </w:pPr>
      <w:r w:rsidRPr="007E0D3E">
        <w:rPr>
          <w:sz w:val="22"/>
          <w:szCs w:val="22"/>
        </w:rPr>
        <w:t xml:space="preserve">Dato: 13. </w:t>
      </w:r>
      <w:proofErr w:type="gramStart"/>
      <w:r w:rsidRPr="007E0D3E">
        <w:rPr>
          <w:sz w:val="22"/>
          <w:szCs w:val="22"/>
        </w:rPr>
        <w:t>Januar</w:t>
      </w:r>
      <w:proofErr w:type="gramEnd"/>
      <w:r w:rsidRPr="007E0D3E">
        <w:rPr>
          <w:sz w:val="22"/>
          <w:szCs w:val="22"/>
        </w:rPr>
        <w:t xml:space="preserve"> 2019</w:t>
      </w:r>
    </w:p>
    <w:p w14:paraId="013502D2" w14:textId="77777777" w:rsidR="007E0D3E" w:rsidRPr="007E0D3E" w:rsidRDefault="007E0D3E" w:rsidP="007E0D3E">
      <w:pPr>
        <w:pStyle w:val="Listeafsnit"/>
        <w:numPr>
          <w:ilvl w:val="0"/>
          <w:numId w:val="0"/>
        </w:numPr>
        <w:spacing w:line="276" w:lineRule="auto"/>
        <w:ind w:left="720"/>
        <w:rPr>
          <w:sz w:val="16"/>
          <w:szCs w:val="16"/>
        </w:rPr>
      </w:pPr>
    </w:p>
    <w:p w14:paraId="1D205153" w14:textId="1564BDBD" w:rsidR="007E0D3E" w:rsidRPr="00605212" w:rsidRDefault="007E0D3E" w:rsidP="007E0D3E">
      <w:pPr>
        <w:pStyle w:val="Listeafsnit"/>
        <w:numPr>
          <w:ilvl w:val="0"/>
          <w:numId w:val="0"/>
        </w:numPr>
        <w:spacing w:line="276" w:lineRule="auto"/>
        <w:ind w:left="720"/>
        <w:rPr>
          <w:sz w:val="22"/>
          <w:szCs w:val="22"/>
        </w:rPr>
      </w:pPr>
      <w:r w:rsidRPr="00605212">
        <w:rPr>
          <w:sz w:val="22"/>
          <w:szCs w:val="22"/>
        </w:rPr>
        <w:t xml:space="preserve">Referenceperiode: 1. </w:t>
      </w:r>
      <w:proofErr w:type="gramStart"/>
      <w:r w:rsidRPr="00605212">
        <w:rPr>
          <w:sz w:val="22"/>
          <w:szCs w:val="22"/>
        </w:rPr>
        <w:t>Januar</w:t>
      </w:r>
      <w:proofErr w:type="gramEnd"/>
      <w:r w:rsidRPr="00605212">
        <w:rPr>
          <w:sz w:val="22"/>
          <w:szCs w:val="22"/>
        </w:rPr>
        <w:t xml:space="preserve"> 2016 – 15. Maj 2017</w:t>
      </w:r>
    </w:p>
    <w:p w14:paraId="40CBE8E0" w14:textId="77777777" w:rsidR="007E0D3E" w:rsidRPr="007E0D3E" w:rsidRDefault="007E0D3E" w:rsidP="007E0D3E">
      <w:pPr>
        <w:pStyle w:val="Listeafsnit"/>
        <w:numPr>
          <w:ilvl w:val="0"/>
          <w:numId w:val="0"/>
        </w:numPr>
        <w:spacing w:line="276" w:lineRule="auto"/>
        <w:ind w:left="720"/>
        <w:rPr>
          <w:sz w:val="16"/>
          <w:szCs w:val="16"/>
        </w:rPr>
      </w:pPr>
    </w:p>
    <w:p w14:paraId="7BDCA53B" w14:textId="03DD821C" w:rsidR="007E0D3E" w:rsidRPr="00A0762D" w:rsidRDefault="007E0D3E" w:rsidP="007E0D3E">
      <w:pPr>
        <w:pStyle w:val="Listeafsnit"/>
        <w:numPr>
          <w:ilvl w:val="0"/>
          <w:numId w:val="0"/>
        </w:numPr>
        <w:spacing w:line="276" w:lineRule="auto"/>
        <w:ind w:left="720"/>
        <w:rPr>
          <w:sz w:val="22"/>
          <w:szCs w:val="22"/>
          <w:lang w:val="en-US"/>
        </w:rPr>
      </w:pPr>
      <w:r w:rsidRPr="00A16177">
        <w:rPr>
          <w:sz w:val="22"/>
          <w:szCs w:val="22"/>
          <w:lang w:val="en-US"/>
        </w:rPr>
        <w:t xml:space="preserve">Link: </w:t>
      </w:r>
      <w:hyperlink r:id="rId17" w:history="1">
        <w:r w:rsidRPr="00A0762D">
          <w:rPr>
            <w:rStyle w:val="Hyperlink"/>
            <w:sz w:val="22"/>
            <w:szCs w:val="22"/>
            <w:lang w:val="en-US"/>
          </w:rPr>
          <w:t>Peer review on propriety of administrative, management or supervisory body members and qualifying shareholders (europa.eu)</w:t>
        </w:r>
      </w:hyperlink>
    </w:p>
    <w:p w14:paraId="07787EE1" w14:textId="77777777" w:rsidR="007E0D3E" w:rsidRPr="00A16177" w:rsidRDefault="007E0D3E" w:rsidP="00E904ED">
      <w:pPr>
        <w:pStyle w:val="Listeafsnit"/>
        <w:numPr>
          <w:ilvl w:val="0"/>
          <w:numId w:val="0"/>
        </w:numPr>
        <w:spacing w:line="276" w:lineRule="auto"/>
        <w:ind w:left="720"/>
        <w:rPr>
          <w:sz w:val="22"/>
          <w:szCs w:val="22"/>
          <w:lang w:val="en-US"/>
        </w:rPr>
      </w:pPr>
    </w:p>
    <w:p w14:paraId="7E3BFBDA" w14:textId="77777777" w:rsidR="00E904ED" w:rsidRPr="00A16177" w:rsidRDefault="00E904ED" w:rsidP="00A16177">
      <w:pPr>
        <w:pStyle w:val="Listeafsnit"/>
        <w:numPr>
          <w:ilvl w:val="0"/>
          <w:numId w:val="0"/>
        </w:numPr>
        <w:spacing w:line="276" w:lineRule="auto"/>
        <w:ind w:left="720"/>
        <w:rPr>
          <w:sz w:val="22"/>
          <w:szCs w:val="22"/>
          <w:lang w:val="en-US"/>
        </w:rPr>
      </w:pPr>
    </w:p>
    <w:p w14:paraId="6975FE9A" w14:textId="6DEB880B" w:rsidR="007E0D3E" w:rsidRPr="00605212" w:rsidRDefault="007E0D3E" w:rsidP="007E0D3E">
      <w:pPr>
        <w:pStyle w:val="Listeafsnit"/>
        <w:numPr>
          <w:ilvl w:val="0"/>
          <w:numId w:val="18"/>
        </w:numPr>
        <w:spacing w:line="276" w:lineRule="auto"/>
        <w:rPr>
          <w:sz w:val="22"/>
          <w:szCs w:val="22"/>
        </w:rPr>
      </w:pPr>
      <w:r w:rsidRPr="00605212">
        <w:rPr>
          <w:sz w:val="22"/>
          <w:szCs w:val="22"/>
        </w:rPr>
        <w:t xml:space="preserve">Peer </w:t>
      </w:r>
      <w:proofErr w:type="spellStart"/>
      <w:r w:rsidRPr="00605212">
        <w:rPr>
          <w:sz w:val="22"/>
          <w:szCs w:val="22"/>
        </w:rPr>
        <w:t>review</w:t>
      </w:r>
      <w:proofErr w:type="spellEnd"/>
      <w:r w:rsidRPr="00605212">
        <w:rPr>
          <w:sz w:val="22"/>
          <w:szCs w:val="22"/>
        </w:rPr>
        <w:t xml:space="preserve"> </w:t>
      </w:r>
      <w:r w:rsidR="00605212">
        <w:rPr>
          <w:sz w:val="22"/>
          <w:szCs w:val="22"/>
        </w:rPr>
        <w:t>om</w:t>
      </w:r>
      <w:r w:rsidR="00605212" w:rsidRPr="00605212">
        <w:rPr>
          <w:sz w:val="22"/>
          <w:szCs w:val="22"/>
        </w:rPr>
        <w:t xml:space="preserve"> tilsynspraksis </w:t>
      </w:r>
      <w:r w:rsidR="00605212">
        <w:rPr>
          <w:sz w:val="22"/>
          <w:szCs w:val="22"/>
        </w:rPr>
        <w:t>af</w:t>
      </w:r>
      <w:r w:rsidR="00605212" w:rsidRPr="00605212">
        <w:rPr>
          <w:sz w:val="22"/>
          <w:szCs w:val="22"/>
        </w:rPr>
        <w:t xml:space="preserve"> anvendelsen af ​​</w:t>
      </w:r>
      <w:proofErr w:type="spellStart"/>
      <w:r w:rsidR="00605212" w:rsidRPr="00605212">
        <w:rPr>
          <w:sz w:val="22"/>
          <w:szCs w:val="22"/>
        </w:rPr>
        <w:t>prudent</w:t>
      </w:r>
      <w:proofErr w:type="spellEnd"/>
      <w:r w:rsidR="00605212" w:rsidRPr="00605212">
        <w:rPr>
          <w:sz w:val="22"/>
          <w:szCs w:val="22"/>
        </w:rPr>
        <w:t xml:space="preserve"> person</w:t>
      </w:r>
      <w:r w:rsidR="00993ACB">
        <w:rPr>
          <w:sz w:val="22"/>
          <w:szCs w:val="22"/>
        </w:rPr>
        <w:t>-princippet</w:t>
      </w:r>
      <w:r w:rsidR="00605212" w:rsidRPr="00605212">
        <w:rPr>
          <w:sz w:val="22"/>
          <w:szCs w:val="22"/>
        </w:rPr>
        <w:t xml:space="preserve"> for </w:t>
      </w:r>
      <w:r w:rsidR="00605212" w:rsidRPr="00A16177">
        <w:rPr>
          <w:sz w:val="22"/>
          <w:szCs w:val="22"/>
        </w:rPr>
        <w:t>firmapensionskasser</w:t>
      </w:r>
    </w:p>
    <w:p w14:paraId="6EB546E3" w14:textId="77777777" w:rsidR="007E0D3E" w:rsidRPr="00605212" w:rsidRDefault="007E0D3E" w:rsidP="007E0D3E">
      <w:pPr>
        <w:pStyle w:val="Listeafsnit"/>
        <w:numPr>
          <w:ilvl w:val="0"/>
          <w:numId w:val="0"/>
        </w:numPr>
        <w:spacing w:line="276" w:lineRule="auto"/>
        <w:ind w:left="720"/>
        <w:rPr>
          <w:sz w:val="16"/>
          <w:szCs w:val="16"/>
        </w:rPr>
      </w:pPr>
    </w:p>
    <w:p w14:paraId="717014E2" w14:textId="7889CC7A" w:rsidR="007E0D3E" w:rsidRDefault="007E0D3E" w:rsidP="007E0D3E">
      <w:pPr>
        <w:pStyle w:val="Listeafsnit"/>
        <w:numPr>
          <w:ilvl w:val="0"/>
          <w:numId w:val="0"/>
        </w:numPr>
        <w:spacing w:line="276" w:lineRule="auto"/>
        <w:ind w:left="720"/>
        <w:rPr>
          <w:sz w:val="22"/>
          <w:szCs w:val="22"/>
        </w:rPr>
      </w:pPr>
      <w:r w:rsidRPr="007E0D3E">
        <w:rPr>
          <w:sz w:val="22"/>
          <w:szCs w:val="22"/>
        </w:rPr>
        <w:t xml:space="preserve">Dato: 25. </w:t>
      </w:r>
      <w:proofErr w:type="gramStart"/>
      <w:r w:rsidRPr="007E0D3E">
        <w:rPr>
          <w:sz w:val="22"/>
          <w:szCs w:val="22"/>
        </w:rPr>
        <w:t>Juni</w:t>
      </w:r>
      <w:proofErr w:type="gramEnd"/>
      <w:r w:rsidRPr="007E0D3E">
        <w:rPr>
          <w:sz w:val="22"/>
          <w:szCs w:val="22"/>
        </w:rPr>
        <w:t xml:space="preserve"> 2019</w:t>
      </w:r>
    </w:p>
    <w:p w14:paraId="2B325A80" w14:textId="77777777" w:rsidR="007E0D3E" w:rsidRPr="007E0D3E" w:rsidRDefault="007E0D3E" w:rsidP="007E0D3E">
      <w:pPr>
        <w:pStyle w:val="Listeafsnit"/>
        <w:numPr>
          <w:ilvl w:val="0"/>
          <w:numId w:val="0"/>
        </w:numPr>
        <w:spacing w:line="276" w:lineRule="auto"/>
        <w:ind w:left="720"/>
        <w:rPr>
          <w:sz w:val="16"/>
          <w:szCs w:val="16"/>
        </w:rPr>
      </w:pPr>
    </w:p>
    <w:p w14:paraId="283665C8" w14:textId="62FAC85C" w:rsidR="007E0D3E" w:rsidRPr="00605212" w:rsidRDefault="007E0D3E" w:rsidP="007E0D3E">
      <w:pPr>
        <w:pStyle w:val="Listeafsnit"/>
        <w:numPr>
          <w:ilvl w:val="0"/>
          <w:numId w:val="0"/>
        </w:numPr>
        <w:spacing w:line="276" w:lineRule="auto"/>
        <w:ind w:left="720"/>
        <w:rPr>
          <w:sz w:val="22"/>
          <w:szCs w:val="22"/>
        </w:rPr>
      </w:pPr>
      <w:r w:rsidRPr="00605212">
        <w:rPr>
          <w:sz w:val="22"/>
          <w:szCs w:val="22"/>
        </w:rPr>
        <w:t xml:space="preserve">Referenceperiode: </w:t>
      </w:r>
      <w:r w:rsidR="00A0762D" w:rsidRPr="00605212">
        <w:rPr>
          <w:sz w:val="22"/>
          <w:szCs w:val="22"/>
        </w:rPr>
        <w:t>Q1 2014 – Q4 2016</w:t>
      </w:r>
    </w:p>
    <w:p w14:paraId="7FCC753F" w14:textId="77777777" w:rsidR="00A0762D" w:rsidRPr="00605212" w:rsidRDefault="00A0762D" w:rsidP="007E0D3E">
      <w:pPr>
        <w:pStyle w:val="Listeafsnit"/>
        <w:numPr>
          <w:ilvl w:val="0"/>
          <w:numId w:val="0"/>
        </w:numPr>
        <w:spacing w:line="276" w:lineRule="auto"/>
        <w:ind w:left="720"/>
        <w:rPr>
          <w:sz w:val="16"/>
          <w:szCs w:val="16"/>
        </w:rPr>
      </w:pPr>
    </w:p>
    <w:p w14:paraId="49EB7782" w14:textId="17EC69BC" w:rsidR="007E0D3E" w:rsidRPr="00605212" w:rsidRDefault="007E0D3E" w:rsidP="007E0D3E">
      <w:pPr>
        <w:pStyle w:val="Listeafsnit"/>
        <w:numPr>
          <w:ilvl w:val="0"/>
          <w:numId w:val="0"/>
        </w:numPr>
        <w:spacing w:line="276" w:lineRule="auto"/>
        <w:ind w:left="720"/>
        <w:rPr>
          <w:lang w:val="en-US"/>
        </w:rPr>
      </w:pPr>
      <w:r w:rsidRPr="00A16177">
        <w:rPr>
          <w:sz w:val="22"/>
          <w:szCs w:val="22"/>
          <w:lang w:val="en-US"/>
        </w:rPr>
        <w:t>Link:</w:t>
      </w:r>
      <w:r w:rsidRPr="00A0762D">
        <w:rPr>
          <w:sz w:val="22"/>
          <w:szCs w:val="22"/>
          <w:lang w:val="en-US"/>
        </w:rPr>
        <w:t xml:space="preserve"> </w:t>
      </w:r>
      <w:hyperlink r:id="rId18" w:history="1">
        <w:r w:rsidRPr="00A0762D">
          <w:rPr>
            <w:rStyle w:val="Hyperlink"/>
            <w:sz w:val="22"/>
            <w:szCs w:val="22"/>
            <w:lang w:val="en-US"/>
          </w:rPr>
          <w:t>Peer review on supervisory practices with respect to the application of the prudent person rule for IORPs (europa.eu)</w:t>
        </w:r>
      </w:hyperlink>
    </w:p>
    <w:p w14:paraId="1E65FB60" w14:textId="7399B0E6" w:rsidR="007E0D3E" w:rsidRPr="00605212" w:rsidRDefault="007E0D3E" w:rsidP="00A0762D">
      <w:pPr>
        <w:pStyle w:val="Listeafsnit"/>
        <w:numPr>
          <w:ilvl w:val="0"/>
          <w:numId w:val="0"/>
        </w:numPr>
        <w:spacing w:line="276" w:lineRule="auto"/>
        <w:ind w:left="720"/>
        <w:rPr>
          <w:lang w:val="en-US"/>
        </w:rPr>
      </w:pPr>
      <w:r w:rsidRPr="00605212">
        <w:rPr>
          <w:lang w:val="en-US"/>
        </w:rPr>
        <w:br/>
      </w:r>
    </w:p>
    <w:p w14:paraId="49694713" w14:textId="3AA32C84" w:rsidR="007E0D3E" w:rsidRPr="00605212" w:rsidRDefault="007E0D3E" w:rsidP="007E0D3E">
      <w:pPr>
        <w:pStyle w:val="Listeafsnit"/>
        <w:numPr>
          <w:ilvl w:val="0"/>
          <w:numId w:val="18"/>
        </w:numPr>
        <w:spacing w:line="276" w:lineRule="auto"/>
        <w:rPr>
          <w:sz w:val="22"/>
          <w:szCs w:val="22"/>
        </w:rPr>
      </w:pPr>
      <w:r w:rsidRPr="00605212">
        <w:rPr>
          <w:sz w:val="22"/>
          <w:szCs w:val="22"/>
        </w:rPr>
        <w:t xml:space="preserve">Peer </w:t>
      </w:r>
      <w:proofErr w:type="spellStart"/>
      <w:r w:rsidRPr="00605212">
        <w:rPr>
          <w:sz w:val="22"/>
          <w:szCs w:val="22"/>
        </w:rPr>
        <w:t>review</w:t>
      </w:r>
      <w:proofErr w:type="spellEnd"/>
      <w:r w:rsidRPr="00605212">
        <w:rPr>
          <w:sz w:val="22"/>
          <w:szCs w:val="22"/>
        </w:rPr>
        <w:t xml:space="preserve"> </w:t>
      </w:r>
      <w:r w:rsidR="00605212">
        <w:rPr>
          <w:sz w:val="22"/>
          <w:szCs w:val="22"/>
        </w:rPr>
        <w:t>om</w:t>
      </w:r>
      <w:r w:rsidR="00605212" w:rsidRPr="00605212">
        <w:rPr>
          <w:sz w:val="22"/>
          <w:szCs w:val="22"/>
        </w:rPr>
        <w:t xml:space="preserve"> regelmæssig tilsynsrapport</w:t>
      </w:r>
    </w:p>
    <w:p w14:paraId="66D87C64" w14:textId="77777777" w:rsidR="007E0D3E" w:rsidRPr="00605212" w:rsidRDefault="007E0D3E" w:rsidP="007E0D3E">
      <w:pPr>
        <w:pStyle w:val="Listeafsnit"/>
        <w:numPr>
          <w:ilvl w:val="0"/>
          <w:numId w:val="0"/>
        </w:numPr>
        <w:spacing w:line="276" w:lineRule="auto"/>
        <w:ind w:left="720"/>
        <w:rPr>
          <w:sz w:val="16"/>
          <w:szCs w:val="16"/>
        </w:rPr>
      </w:pPr>
    </w:p>
    <w:p w14:paraId="652420B9" w14:textId="77777777" w:rsidR="007E0D3E" w:rsidRDefault="007E0D3E" w:rsidP="007E0D3E">
      <w:pPr>
        <w:pStyle w:val="Listeafsnit"/>
        <w:numPr>
          <w:ilvl w:val="0"/>
          <w:numId w:val="0"/>
        </w:numPr>
        <w:spacing w:line="276" w:lineRule="auto"/>
        <w:ind w:left="720"/>
        <w:rPr>
          <w:sz w:val="22"/>
          <w:szCs w:val="22"/>
        </w:rPr>
      </w:pPr>
      <w:r w:rsidRPr="007E0D3E">
        <w:rPr>
          <w:sz w:val="22"/>
          <w:szCs w:val="22"/>
        </w:rPr>
        <w:t xml:space="preserve">Dato: 18. </w:t>
      </w:r>
      <w:proofErr w:type="gramStart"/>
      <w:r w:rsidRPr="007E0D3E">
        <w:rPr>
          <w:sz w:val="22"/>
          <w:szCs w:val="22"/>
        </w:rPr>
        <w:t>Juni</w:t>
      </w:r>
      <w:proofErr w:type="gramEnd"/>
      <w:r w:rsidRPr="007E0D3E">
        <w:rPr>
          <w:sz w:val="22"/>
          <w:szCs w:val="22"/>
        </w:rPr>
        <w:t xml:space="preserve"> 2020</w:t>
      </w:r>
    </w:p>
    <w:p w14:paraId="777238CC" w14:textId="77777777" w:rsidR="007E0D3E" w:rsidRDefault="007E0D3E" w:rsidP="007E0D3E">
      <w:pPr>
        <w:pStyle w:val="Listeafsnit"/>
        <w:numPr>
          <w:ilvl w:val="0"/>
          <w:numId w:val="0"/>
        </w:numPr>
        <w:spacing w:line="276" w:lineRule="auto"/>
        <w:ind w:left="720"/>
        <w:rPr>
          <w:sz w:val="22"/>
          <w:szCs w:val="22"/>
        </w:rPr>
      </w:pPr>
    </w:p>
    <w:p w14:paraId="100C654B" w14:textId="36084CAC" w:rsidR="007E0D3E" w:rsidRPr="00605212" w:rsidRDefault="007E0D3E" w:rsidP="007E0D3E">
      <w:pPr>
        <w:pStyle w:val="Listeafsnit"/>
        <w:numPr>
          <w:ilvl w:val="0"/>
          <w:numId w:val="0"/>
        </w:numPr>
        <w:spacing w:line="276" w:lineRule="auto"/>
        <w:ind w:left="720"/>
        <w:rPr>
          <w:sz w:val="22"/>
          <w:szCs w:val="22"/>
        </w:rPr>
      </w:pPr>
      <w:r w:rsidRPr="00605212">
        <w:rPr>
          <w:sz w:val="22"/>
          <w:szCs w:val="22"/>
        </w:rPr>
        <w:t xml:space="preserve">Referenceperiode: </w:t>
      </w:r>
      <w:r w:rsidRPr="00605212">
        <w:t xml:space="preserve">1. </w:t>
      </w:r>
      <w:proofErr w:type="gramStart"/>
      <w:r w:rsidRPr="00605212">
        <w:t>Januar</w:t>
      </w:r>
      <w:proofErr w:type="gramEnd"/>
      <w:r w:rsidRPr="00605212">
        <w:t xml:space="preserve"> 2016 – 31. marts 2019</w:t>
      </w:r>
    </w:p>
    <w:p w14:paraId="211B442D" w14:textId="4696A4CB" w:rsidR="007E0D3E" w:rsidRPr="00605212" w:rsidRDefault="007E0D3E" w:rsidP="007E0D3E">
      <w:pPr>
        <w:pStyle w:val="Listeafsnit"/>
        <w:numPr>
          <w:ilvl w:val="0"/>
          <w:numId w:val="0"/>
        </w:numPr>
        <w:spacing w:line="276" w:lineRule="auto"/>
        <w:ind w:left="720"/>
        <w:rPr>
          <w:sz w:val="16"/>
          <w:szCs w:val="16"/>
        </w:rPr>
      </w:pPr>
    </w:p>
    <w:p w14:paraId="2E133197" w14:textId="4622708E" w:rsidR="007E0D3E" w:rsidRPr="00A0762D" w:rsidRDefault="007E0D3E" w:rsidP="007E0D3E">
      <w:pPr>
        <w:pStyle w:val="Listeafsnit"/>
        <w:numPr>
          <w:ilvl w:val="0"/>
          <w:numId w:val="0"/>
        </w:numPr>
        <w:spacing w:line="276" w:lineRule="auto"/>
        <w:ind w:left="720"/>
        <w:rPr>
          <w:sz w:val="22"/>
          <w:szCs w:val="22"/>
          <w:lang w:val="en-US"/>
        </w:rPr>
      </w:pPr>
      <w:r w:rsidRPr="00A16177">
        <w:rPr>
          <w:sz w:val="22"/>
          <w:szCs w:val="22"/>
          <w:lang w:val="en-US"/>
        </w:rPr>
        <w:t xml:space="preserve">Link: </w:t>
      </w:r>
      <w:hyperlink r:id="rId19" w:history="1">
        <w:r w:rsidRPr="00A0762D">
          <w:rPr>
            <w:rStyle w:val="Hyperlink"/>
            <w:sz w:val="22"/>
            <w:szCs w:val="22"/>
            <w:lang w:val="en-US"/>
          </w:rPr>
          <w:t>Peer Review on the Regular Supervisory Report (europa.eu)</w:t>
        </w:r>
      </w:hyperlink>
    </w:p>
    <w:p w14:paraId="731A4420" w14:textId="77777777" w:rsidR="007E0D3E" w:rsidRPr="00605212" w:rsidRDefault="007E0D3E" w:rsidP="007E0D3E">
      <w:pPr>
        <w:pStyle w:val="Listeafsnit"/>
        <w:numPr>
          <w:ilvl w:val="0"/>
          <w:numId w:val="0"/>
        </w:numPr>
        <w:spacing w:line="276" w:lineRule="auto"/>
        <w:ind w:left="720"/>
        <w:rPr>
          <w:lang w:val="en-US"/>
        </w:rPr>
      </w:pPr>
      <w:r w:rsidRPr="00605212">
        <w:rPr>
          <w:lang w:val="en-US"/>
        </w:rPr>
        <w:br/>
      </w:r>
    </w:p>
    <w:p w14:paraId="51B48393" w14:textId="2E519EE4" w:rsidR="007E0D3E" w:rsidRPr="00605212" w:rsidRDefault="007E0D3E" w:rsidP="007E0D3E">
      <w:pPr>
        <w:pStyle w:val="Listeafsnit"/>
        <w:numPr>
          <w:ilvl w:val="0"/>
          <w:numId w:val="18"/>
        </w:numPr>
        <w:spacing w:line="276" w:lineRule="auto"/>
        <w:rPr>
          <w:sz w:val="22"/>
          <w:szCs w:val="22"/>
        </w:rPr>
      </w:pPr>
      <w:r w:rsidRPr="00605212">
        <w:rPr>
          <w:sz w:val="22"/>
          <w:szCs w:val="22"/>
        </w:rPr>
        <w:t xml:space="preserve">Peer </w:t>
      </w:r>
      <w:proofErr w:type="spellStart"/>
      <w:r w:rsidRPr="00605212">
        <w:rPr>
          <w:sz w:val="22"/>
          <w:szCs w:val="22"/>
        </w:rPr>
        <w:t>review</w:t>
      </w:r>
      <w:proofErr w:type="spellEnd"/>
      <w:r w:rsidRPr="00605212">
        <w:rPr>
          <w:sz w:val="22"/>
          <w:szCs w:val="22"/>
        </w:rPr>
        <w:t xml:space="preserve"> </w:t>
      </w:r>
      <w:r w:rsidR="00605212" w:rsidRPr="00605212">
        <w:rPr>
          <w:sz w:val="22"/>
          <w:szCs w:val="22"/>
        </w:rPr>
        <w:t>om samarbejdet mellem tilsynsmyndigheder</w:t>
      </w:r>
    </w:p>
    <w:p w14:paraId="1528734D" w14:textId="77777777" w:rsidR="007E0D3E" w:rsidRPr="00605212" w:rsidRDefault="007E0D3E" w:rsidP="007E0D3E">
      <w:pPr>
        <w:pStyle w:val="Listeafsnit"/>
        <w:numPr>
          <w:ilvl w:val="0"/>
          <w:numId w:val="0"/>
        </w:numPr>
        <w:spacing w:line="276" w:lineRule="auto"/>
        <w:ind w:left="720"/>
        <w:rPr>
          <w:sz w:val="22"/>
          <w:szCs w:val="22"/>
        </w:rPr>
      </w:pPr>
    </w:p>
    <w:p w14:paraId="4BDBFCBB" w14:textId="3C293C3D" w:rsidR="007E0D3E" w:rsidRPr="00A0762D" w:rsidRDefault="007E0D3E" w:rsidP="007E0D3E">
      <w:pPr>
        <w:pStyle w:val="Listeafsnit"/>
        <w:numPr>
          <w:ilvl w:val="0"/>
          <w:numId w:val="0"/>
        </w:numPr>
        <w:spacing w:line="276" w:lineRule="auto"/>
        <w:ind w:left="720"/>
        <w:rPr>
          <w:sz w:val="22"/>
          <w:szCs w:val="22"/>
        </w:rPr>
      </w:pPr>
      <w:r w:rsidRPr="00A0762D">
        <w:rPr>
          <w:sz w:val="22"/>
          <w:szCs w:val="22"/>
        </w:rPr>
        <w:t xml:space="preserve">Dato: 2. </w:t>
      </w:r>
      <w:proofErr w:type="gramStart"/>
      <w:r w:rsidRPr="00A0762D">
        <w:rPr>
          <w:sz w:val="22"/>
          <w:szCs w:val="22"/>
        </w:rPr>
        <w:t>December</w:t>
      </w:r>
      <w:proofErr w:type="gramEnd"/>
      <w:r w:rsidRPr="00A0762D">
        <w:rPr>
          <w:sz w:val="22"/>
          <w:szCs w:val="22"/>
        </w:rPr>
        <w:t xml:space="preserve"> 2020</w:t>
      </w:r>
    </w:p>
    <w:p w14:paraId="517B6EC5" w14:textId="77777777" w:rsidR="007E0D3E" w:rsidRPr="00A0762D" w:rsidRDefault="007E0D3E" w:rsidP="007E0D3E">
      <w:pPr>
        <w:pStyle w:val="Listeafsnit"/>
        <w:numPr>
          <w:ilvl w:val="0"/>
          <w:numId w:val="0"/>
        </w:numPr>
        <w:spacing w:line="276" w:lineRule="auto"/>
        <w:ind w:left="720"/>
        <w:rPr>
          <w:sz w:val="22"/>
          <w:szCs w:val="22"/>
        </w:rPr>
      </w:pPr>
    </w:p>
    <w:p w14:paraId="0755576F" w14:textId="5BEC4C2D" w:rsidR="007E0D3E" w:rsidRPr="007D45CC" w:rsidRDefault="007E0D3E" w:rsidP="007E0D3E">
      <w:pPr>
        <w:pStyle w:val="Listeafsnit"/>
        <w:numPr>
          <w:ilvl w:val="0"/>
          <w:numId w:val="0"/>
        </w:numPr>
        <w:spacing w:line="276" w:lineRule="auto"/>
        <w:ind w:left="720"/>
        <w:rPr>
          <w:sz w:val="22"/>
          <w:szCs w:val="22"/>
        </w:rPr>
      </w:pPr>
      <w:r w:rsidRPr="007D45CC">
        <w:rPr>
          <w:sz w:val="22"/>
          <w:szCs w:val="22"/>
        </w:rPr>
        <w:t xml:space="preserve">Referenceperiode: 1. Maj 2017 – 1. </w:t>
      </w:r>
      <w:proofErr w:type="gramStart"/>
      <w:r w:rsidRPr="007D45CC">
        <w:rPr>
          <w:sz w:val="22"/>
          <w:szCs w:val="22"/>
        </w:rPr>
        <w:t>Juli</w:t>
      </w:r>
      <w:proofErr w:type="gramEnd"/>
      <w:r w:rsidRPr="007D45CC">
        <w:rPr>
          <w:sz w:val="22"/>
          <w:szCs w:val="22"/>
        </w:rPr>
        <w:t xml:space="preserve"> 2019</w:t>
      </w:r>
    </w:p>
    <w:p w14:paraId="7007E4F5" w14:textId="77777777" w:rsidR="007E0D3E" w:rsidRPr="007D45CC" w:rsidRDefault="007E0D3E" w:rsidP="007E0D3E">
      <w:pPr>
        <w:pStyle w:val="Listeafsnit"/>
        <w:numPr>
          <w:ilvl w:val="0"/>
          <w:numId w:val="0"/>
        </w:numPr>
        <w:spacing w:line="276" w:lineRule="auto"/>
        <w:ind w:left="720"/>
        <w:rPr>
          <w:sz w:val="22"/>
          <w:szCs w:val="22"/>
        </w:rPr>
      </w:pPr>
    </w:p>
    <w:p w14:paraId="79E78E93" w14:textId="6FAF799D" w:rsidR="007E0D3E" w:rsidRPr="00A0762D" w:rsidRDefault="007E0D3E" w:rsidP="007E0D3E">
      <w:pPr>
        <w:pStyle w:val="Listeafsnit"/>
        <w:numPr>
          <w:ilvl w:val="0"/>
          <w:numId w:val="0"/>
        </w:numPr>
        <w:spacing w:line="276" w:lineRule="auto"/>
        <w:ind w:left="720"/>
        <w:rPr>
          <w:sz w:val="22"/>
          <w:szCs w:val="22"/>
          <w:lang w:val="en-US"/>
        </w:rPr>
      </w:pPr>
      <w:r w:rsidRPr="00A0762D">
        <w:rPr>
          <w:sz w:val="22"/>
          <w:szCs w:val="22"/>
          <w:lang w:val="en-US"/>
        </w:rPr>
        <w:t xml:space="preserve">Link: </w:t>
      </w:r>
      <w:hyperlink r:id="rId20" w:history="1">
        <w:r w:rsidRPr="00A0762D">
          <w:rPr>
            <w:rStyle w:val="Hyperlink"/>
            <w:sz w:val="22"/>
            <w:szCs w:val="22"/>
            <w:lang w:val="en-US"/>
          </w:rPr>
          <w:t>Peer Review on EIOPA’s Decision on the collaboration of the insurance supervisory authorities (europa.eu)</w:t>
        </w:r>
      </w:hyperlink>
    </w:p>
    <w:p w14:paraId="5867BA61" w14:textId="61BAE38D" w:rsidR="007E0D3E" w:rsidRPr="00A0762D" w:rsidRDefault="00A0762D" w:rsidP="007E0D3E">
      <w:pPr>
        <w:pStyle w:val="Listeafsnit"/>
        <w:numPr>
          <w:ilvl w:val="0"/>
          <w:numId w:val="0"/>
        </w:numPr>
        <w:spacing w:line="276" w:lineRule="auto"/>
        <w:ind w:left="720"/>
        <w:rPr>
          <w:sz w:val="22"/>
          <w:szCs w:val="22"/>
          <w:lang w:val="en-US"/>
        </w:rPr>
      </w:pPr>
      <w:r>
        <w:rPr>
          <w:sz w:val="22"/>
          <w:szCs w:val="22"/>
          <w:lang w:val="en-US"/>
        </w:rPr>
        <w:br/>
      </w:r>
    </w:p>
    <w:p w14:paraId="21857166" w14:textId="71AEE6FF" w:rsidR="009D4579" w:rsidRPr="00993ACB" w:rsidRDefault="00993ACB" w:rsidP="00993ACB">
      <w:pPr>
        <w:pStyle w:val="Listeafsnit"/>
        <w:numPr>
          <w:ilvl w:val="0"/>
          <w:numId w:val="18"/>
        </w:numPr>
        <w:spacing w:line="276" w:lineRule="auto"/>
        <w:rPr>
          <w:sz w:val="22"/>
          <w:szCs w:val="22"/>
        </w:rPr>
      </w:pPr>
      <w:r w:rsidRPr="00993ACB">
        <w:rPr>
          <w:sz w:val="22"/>
          <w:szCs w:val="22"/>
        </w:rPr>
        <w:t xml:space="preserve">Opfølgning på </w:t>
      </w:r>
      <w:r w:rsidR="00413B59">
        <w:rPr>
          <w:sz w:val="22"/>
          <w:szCs w:val="22"/>
        </w:rPr>
        <w:t>P</w:t>
      </w:r>
      <w:r w:rsidRPr="00993ACB">
        <w:rPr>
          <w:sz w:val="22"/>
          <w:szCs w:val="22"/>
        </w:rPr>
        <w:t xml:space="preserve">eer </w:t>
      </w:r>
      <w:proofErr w:type="spellStart"/>
      <w:r w:rsidRPr="00993ACB">
        <w:rPr>
          <w:sz w:val="22"/>
          <w:szCs w:val="22"/>
        </w:rPr>
        <w:t>review</w:t>
      </w:r>
      <w:proofErr w:type="spellEnd"/>
      <w:r w:rsidRPr="00993ACB">
        <w:rPr>
          <w:sz w:val="22"/>
          <w:szCs w:val="22"/>
        </w:rPr>
        <w:t xml:space="preserve"> om tilsynspraksis og anvendelse af nøglefunktioner</w:t>
      </w:r>
    </w:p>
    <w:p w14:paraId="7837C631" w14:textId="77777777" w:rsidR="00993ACB" w:rsidRDefault="00993ACB" w:rsidP="009D4579">
      <w:pPr>
        <w:pStyle w:val="Listeafsnit"/>
        <w:numPr>
          <w:ilvl w:val="0"/>
          <w:numId w:val="0"/>
        </w:numPr>
        <w:spacing w:line="276" w:lineRule="auto"/>
        <w:ind w:left="720"/>
        <w:rPr>
          <w:sz w:val="22"/>
          <w:szCs w:val="22"/>
        </w:rPr>
      </w:pPr>
    </w:p>
    <w:p w14:paraId="175C1080" w14:textId="08E5F013" w:rsidR="009D4579" w:rsidRPr="007D45CC" w:rsidRDefault="009D4579" w:rsidP="009D4579">
      <w:pPr>
        <w:pStyle w:val="Listeafsnit"/>
        <w:numPr>
          <w:ilvl w:val="0"/>
          <w:numId w:val="0"/>
        </w:numPr>
        <w:spacing w:line="276" w:lineRule="auto"/>
        <w:ind w:left="720"/>
        <w:rPr>
          <w:sz w:val="22"/>
          <w:szCs w:val="22"/>
          <w:lang w:val="en-US"/>
        </w:rPr>
      </w:pPr>
      <w:r w:rsidRPr="007D45CC">
        <w:rPr>
          <w:sz w:val="22"/>
          <w:szCs w:val="22"/>
          <w:lang w:val="en-US"/>
        </w:rPr>
        <w:t>Dato: 11. August 2021</w:t>
      </w:r>
    </w:p>
    <w:p w14:paraId="41F1CC0D" w14:textId="77777777" w:rsidR="009D4579" w:rsidRPr="007D45CC" w:rsidRDefault="009D4579" w:rsidP="009D4579">
      <w:pPr>
        <w:pStyle w:val="Listeafsnit"/>
        <w:numPr>
          <w:ilvl w:val="0"/>
          <w:numId w:val="0"/>
        </w:numPr>
        <w:spacing w:line="276" w:lineRule="auto"/>
        <w:ind w:left="720"/>
        <w:rPr>
          <w:sz w:val="22"/>
          <w:szCs w:val="22"/>
          <w:lang w:val="en-US"/>
        </w:rPr>
      </w:pPr>
    </w:p>
    <w:p w14:paraId="742DE87C" w14:textId="52DFDDD0" w:rsidR="009D4579" w:rsidRPr="007D45CC" w:rsidRDefault="009D4579" w:rsidP="009D4579">
      <w:pPr>
        <w:pStyle w:val="Listeafsnit"/>
        <w:numPr>
          <w:ilvl w:val="0"/>
          <w:numId w:val="0"/>
        </w:numPr>
        <w:spacing w:line="276" w:lineRule="auto"/>
        <w:ind w:left="720"/>
        <w:rPr>
          <w:sz w:val="22"/>
          <w:szCs w:val="22"/>
          <w:lang w:val="en-US"/>
        </w:rPr>
      </w:pPr>
      <w:proofErr w:type="spellStart"/>
      <w:r w:rsidRPr="007D45CC">
        <w:rPr>
          <w:sz w:val="22"/>
          <w:szCs w:val="22"/>
          <w:lang w:val="en-US"/>
        </w:rPr>
        <w:t>Referenceperiode</w:t>
      </w:r>
      <w:proofErr w:type="spellEnd"/>
      <w:r w:rsidRPr="007D45CC">
        <w:rPr>
          <w:sz w:val="22"/>
          <w:szCs w:val="22"/>
          <w:lang w:val="en-US"/>
        </w:rPr>
        <w:t xml:space="preserve">: </w:t>
      </w:r>
      <w:proofErr w:type="spellStart"/>
      <w:r w:rsidRPr="007D45CC">
        <w:rPr>
          <w:sz w:val="22"/>
          <w:szCs w:val="22"/>
          <w:lang w:val="en-US"/>
        </w:rPr>
        <w:t>Indtil</w:t>
      </w:r>
      <w:proofErr w:type="spellEnd"/>
      <w:r w:rsidRPr="007D45CC">
        <w:rPr>
          <w:sz w:val="22"/>
          <w:szCs w:val="22"/>
          <w:lang w:val="en-US"/>
        </w:rPr>
        <w:t xml:space="preserve"> December 2020</w:t>
      </w:r>
    </w:p>
    <w:p w14:paraId="203CCE1E" w14:textId="77777777" w:rsidR="009D4579" w:rsidRPr="007D45CC" w:rsidRDefault="009D4579" w:rsidP="009D4579">
      <w:pPr>
        <w:pStyle w:val="Listeafsnit"/>
        <w:numPr>
          <w:ilvl w:val="0"/>
          <w:numId w:val="0"/>
        </w:numPr>
        <w:spacing w:line="276" w:lineRule="auto"/>
        <w:ind w:left="720"/>
        <w:rPr>
          <w:sz w:val="22"/>
          <w:szCs w:val="22"/>
          <w:lang w:val="en-US"/>
        </w:rPr>
      </w:pPr>
    </w:p>
    <w:p w14:paraId="1F35E518" w14:textId="26A2D76A" w:rsidR="00993ACB" w:rsidRDefault="009D4579" w:rsidP="009A6752">
      <w:pPr>
        <w:pStyle w:val="Listeafsnit"/>
        <w:numPr>
          <w:ilvl w:val="0"/>
          <w:numId w:val="0"/>
        </w:numPr>
        <w:spacing w:line="276" w:lineRule="auto"/>
        <w:ind w:left="720"/>
        <w:rPr>
          <w:rStyle w:val="Hyperlink"/>
          <w:sz w:val="22"/>
          <w:szCs w:val="22"/>
          <w:lang w:val="en-US"/>
        </w:rPr>
      </w:pPr>
      <w:r w:rsidRPr="00A0762D">
        <w:rPr>
          <w:sz w:val="22"/>
          <w:szCs w:val="22"/>
          <w:lang w:val="en-US"/>
        </w:rPr>
        <w:t xml:space="preserve">Link: </w:t>
      </w:r>
      <w:hyperlink r:id="rId21" w:history="1">
        <w:r w:rsidR="00BF3A8C" w:rsidRPr="00A0762D">
          <w:rPr>
            <w:rStyle w:val="Hyperlink"/>
            <w:sz w:val="22"/>
            <w:szCs w:val="22"/>
            <w:lang w:val="en-US"/>
          </w:rPr>
          <w:t>Follow-up report on the Peer review of key functions: Supervisory practices and application in assessing key functions (europa.eu)</w:t>
        </w:r>
      </w:hyperlink>
    </w:p>
    <w:p w14:paraId="49571749" w14:textId="77777777" w:rsidR="009A6752" w:rsidRPr="00993ACB" w:rsidRDefault="009A6752" w:rsidP="009A6752">
      <w:pPr>
        <w:pStyle w:val="Listeafsnit"/>
        <w:numPr>
          <w:ilvl w:val="0"/>
          <w:numId w:val="0"/>
        </w:numPr>
        <w:spacing w:line="276" w:lineRule="auto"/>
        <w:ind w:left="720"/>
        <w:rPr>
          <w:sz w:val="22"/>
          <w:szCs w:val="22"/>
          <w:lang w:val="en-US"/>
        </w:rPr>
      </w:pPr>
    </w:p>
    <w:p w14:paraId="45A04CF7" w14:textId="17BC896D" w:rsidR="009D4579" w:rsidRPr="00A0762D" w:rsidRDefault="009D4579" w:rsidP="00A0762D">
      <w:pPr>
        <w:pStyle w:val="Listeafsnit"/>
        <w:numPr>
          <w:ilvl w:val="0"/>
          <w:numId w:val="18"/>
        </w:numPr>
        <w:spacing w:line="276" w:lineRule="auto"/>
        <w:rPr>
          <w:sz w:val="22"/>
          <w:szCs w:val="22"/>
        </w:rPr>
      </w:pPr>
      <w:r w:rsidRPr="00A0762D">
        <w:rPr>
          <w:sz w:val="22"/>
          <w:szCs w:val="22"/>
          <w:lang w:val="en-US"/>
        </w:rPr>
        <w:t xml:space="preserve">Peer review </w:t>
      </w:r>
      <w:r w:rsidR="00993ACB" w:rsidRPr="00993ACB">
        <w:rPr>
          <w:sz w:val="22"/>
          <w:szCs w:val="22"/>
          <w:lang w:val="en-US"/>
        </w:rPr>
        <w:t>om outsourcing</w:t>
      </w:r>
    </w:p>
    <w:p w14:paraId="31B58A81" w14:textId="77777777" w:rsidR="009D4579" w:rsidRPr="00A0762D" w:rsidRDefault="009D4579" w:rsidP="009D4579">
      <w:pPr>
        <w:pStyle w:val="Listeafsnit"/>
        <w:numPr>
          <w:ilvl w:val="0"/>
          <w:numId w:val="0"/>
        </w:numPr>
        <w:spacing w:line="276" w:lineRule="auto"/>
        <w:ind w:left="720"/>
        <w:rPr>
          <w:sz w:val="22"/>
          <w:szCs w:val="22"/>
          <w:lang w:val="en-US"/>
        </w:rPr>
      </w:pPr>
    </w:p>
    <w:p w14:paraId="1C8F4A7C" w14:textId="04CEDB62" w:rsidR="009D4579" w:rsidRPr="00A0762D" w:rsidRDefault="009D4579" w:rsidP="009D4579">
      <w:pPr>
        <w:pStyle w:val="Listeafsnit"/>
        <w:numPr>
          <w:ilvl w:val="0"/>
          <w:numId w:val="0"/>
        </w:numPr>
        <w:spacing w:line="276" w:lineRule="auto"/>
        <w:ind w:left="720"/>
        <w:rPr>
          <w:sz w:val="22"/>
          <w:szCs w:val="22"/>
        </w:rPr>
      </w:pPr>
      <w:r w:rsidRPr="00A0762D">
        <w:rPr>
          <w:sz w:val="22"/>
          <w:szCs w:val="22"/>
        </w:rPr>
        <w:t xml:space="preserve">Dato: </w:t>
      </w:r>
      <w:r w:rsidR="00333652" w:rsidRPr="00333652">
        <w:rPr>
          <w:sz w:val="22"/>
          <w:szCs w:val="22"/>
          <w:lang w:val="en-US"/>
        </w:rPr>
        <w:t xml:space="preserve">19. </w:t>
      </w:r>
      <w:proofErr w:type="spellStart"/>
      <w:r w:rsidR="00333652" w:rsidRPr="00333652">
        <w:rPr>
          <w:sz w:val="22"/>
          <w:szCs w:val="22"/>
          <w:lang w:val="en-US"/>
        </w:rPr>
        <w:t>juli</w:t>
      </w:r>
      <w:proofErr w:type="spellEnd"/>
      <w:r w:rsidR="00333652" w:rsidRPr="00333652">
        <w:rPr>
          <w:sz w:val="22"/>
          <w:szCs w:val="22"/>
          <w:lang w:val="en-US"/>
        </w:rPr>
        <w:t xml:space="preserve"> 2022</w:t>
      </w:r>
    </w:p>
    <w:p w14:paraId="402945CC" w14:textId="77777777" w:rsidR="009D4579" w:rsidRPr="00A0762D" w:rsidRDefault="009D4579" w:rsidP="009D4579">
      <w:pPr>
        <w:pStyle w:val="Listeafsnit"/>
        <w:numPr>
          <w:ilvl w:val="0"/>
          <w:numId w:val="0"/>
        </w:numPr>
        <w:spacing w:line="276" w:lineRule="auto"/>
        <w:ind w:left="720"/>
        <w:rPr>
          <w:sz w:val="22"/>
          <w:szCs w:val="22"/>
        </w:rPr>
      </w:pPr>
    </w:p>
    <w:p w14:paraId="0A677948" w14:textId="0E853AB0" w:rsidR="009D4579" w:rsidRPr="00A0762D" w:rsidRDefault="009D4579" w:rsidP="009D4579">
      <w:pPr>
        <w:pStyle w:val="Listeafsnit"/>
        <w:numPr>
          <w:ilvl w:val="0"/>
          <w:numId w:val="0"/>
        </w:numPr>
        <w:spacing w:line="276" w:lineRule="auto"/>
        <w:ind w:left="720"/>
        <w:rPr>
          <w:sz w:val="22"/>
          <w:szCs w:val="22"/>
        </w:rPr>
      </w:pPr>
      <w:r w:rsidRPr="00A0762D">
        <w:rPr>
          <w:sz w:val="22"/>
          <w:szCs w:val="22"/>
        </w:rPr>
        <w:t xml:space="preserve">Referenceperiode: 1. </w:t>
      </w:r>
      <w:proofErr w:type="gramStart"/>
      <w:r w:rsidRPr="00A0762D">
        <w:rPr>
          <w:sz w:val="22"/>
          <w:szCs w:val="22"/>
        </w:rPr>
        <w:t>Januar</w:t>
      </w:r>
      <w:proofErr w:type="gramEnd"/>
      <w:r w:rsidRPr="00A0762D">
        <w:rPr>
          <w:sz w:val="22"/>
          <w:szCs w:val="22"/>
        </w:rPr>
        <w:t xml:space="preserve"> 2016 – 31. </w:t>
      </w:r>
      <w:proofErr w:type="gramStart"/>
      <w:r w:rsidRPr="00A0762D">
        <w:rPr>
          <w:sz w:val="22"/>
          <w:szCs w:val="22"/>
        </w:rPr>
        <w:t>December</w:t>
      </w:r>
      <w:proofErr w:type="gramEnd"/>
      <w:r w:rsidRPr="00A0762D">
        <w:rPr>
          <w:sz w:val="22"/>
          <w:szCs w:val="22"/>
        </w:rPr>
        <w:t xml:space="preserve"> 2020</w:t>
      </w:r>
    </w:p>
    <w:p w14:paraId="3EA46E49" w14:textId="77777777" w:rsidR="009D4579" w:rsidRPr="00333652" w:rsidRDefault="009D4579" w:rsidP="009D4579">
      <w:pPr>
        <w:pStyle w:val="Listeafsnit"/>
        <w:numPr>
          <w:ilvl w:val="0"/>
          <w:numId w:val="0"/>
        </w:numPr>
        <w:spacing w:line="276" w:lineRule="auto"/>
        <w:ind w:left="720"/>
        <w:rPr>
          <w:sz w:val="22"/>
          <w:szCs w:val="22"/>
        </w:rPr>
      </w:pPr>
    </w:p>
    <w:p w14:paraId="4527CA06" w14:textId="39AAD50C" w:rsidR="009D4579" w:rsidRPr="00333652" w:rsidRDefault="009D4579" w:rsidP="009D4579">
      <w:pPr>
        <w:pStyle w:val="Listeafsnit"/>
        <w:numPr>
          <w:ilvl w:val="0"/>
          <w:numId w:val="0"/>
        </w:numPr>
        <w:spacing w:line="276" w:lineRule="auto"/>
        <w:ind w:left="720"/>
        <w:rPr>
          <w:sz w:val="22"/>
          <w:szCs w:val="22"/>
          <w:lang w:val="en-US"/>
        </w:rPr>
      </w:pPr>
      <w:r w:rsidRPr="00333652">
        <w:rPr>
          <w:sz w:val="22"/>
          <w:szCs w:val="22"/>
          <w:lang w:val="en-US"/>
        </w:rPr>
        <w:t>Link:</w:t>
      </w:r>
      <w:r w:rsidR="00C71770" w:rsidRPr="00333652">
        <w:rPr>
          <w:sz w:val="22"/>
          <w:szCs w:val="22"/>
          <w:lang w:val="en-US"/>
        </w:rPr>
        <w:t xml:space="preserve"> </w:t>
      </w:r>
      <w:hyperlink r:id="rId22" w:history="1">
        <w:r w:rsidR="00BF3A8C" w:rsidRPr="00333652">
          <w:rPr>
            <w:rStyle w:val="Hyperlink"/>
            <w:sz w:val="22"/>
            <w:szCs w:val="22"/>
            <w:lang w:val="en-US"/>
          </w:rPr>
          <w:t>Peer Review on outsourcing (europa.eu)</w:t>
        </w:r>
      </w:hyperlink>
    </w:p>
    <w:p w14:paraId="2130AFF6" w14:textId="56FF7475" w:rsidR="009D4579" w:rsidRPr="00333652" w:rsidRDefault="009D4579" w:rsidP="009D4579">
      <w:pPr>
        <w:pStyle w:val="Listeafsnit"/>
        <w:numPr>
          <w:ilvl w:val="0"/>
          <w:numId w:val="0"/>
        </w:numPr>
        <w:spacing w:line="276" w:lineRule="auto"/>
        <w:ind w:left="720"/>
        <w:rPr>
          <w:sz w:val="22"/>
          <w:szCs w:val="22"/>
          <w:lang w:val="en-US"/>
        </w:rPr>
      </w:pPr>
      <w:r w:rsidRPr="00333652">
        <w:rPr>
          <w:sz w:val="22"/>
          <w:szCs w:val="22"/>
          <w:lang w:val="en-US"/>
        </w:rPr>
        <w:br/>
      </w:r>
    </w:p>
    <w:p w14:paraId="523200DD" w14:textId="5E51C596" w:rsidR="00333652" w:rsidRPr="00333652" w:rsidRDefault="00333652" w:rsidP="00333652">
      <w:pPr>
        <w:pStyle w:val="Listeafsnit"/>
        <w:numPr>
          <w:ilvl w:val="0"/>
          <w:numId w:val="18"/>
        </w:numPr>
        <w:rPr>
          <w:sz w:val="22"/>
          <w:szCs w:val="22"/>
        </w:rPr>
      </w:pPr>
      <w:r w:rsidRPr="00333652">
        <w:rPr>
          <w:sz w:val="22"/>
          <w:szCs w:val="22"/>
        </w:rPr>
        <w:t xml:space="preserve">Opfølgning på Peer </w:t>
      </w:r>
      <w:proofErr w:type="spellStart"/>
      <w:r w:rsidRPr="00333652">
        <w:rPr>
          <w:sz w:val="22"/>
          <w:szCs w:val="22"/>
        </w:rPr>
        <w:t>review</w:t>
      </w:r>
      <w:proofErr w:type="spellEnd"/>
      <w:r w:rsidRPr="00333652">
        <w:rPr>
          <w:sz w:val="22"/>
          <w:szCs w:val="22"/>
        </w:rPr>
        <w:t xml:space="preserve"> om anstændigheden af medlemmer af administrative, ledelses- eller tilsynsorganer og kvalificerede aktionærer</w:t>
      </w:r>
    </w:p>
    <w:p w14:paraId="6357EF48" w14:textId="77777777" w:rsidR="00333652" w:rsidRPr="00333652" w:rsidRDefault="00333652" w:rsidP="00333652">
      <w:pPr>
        <w:rPr>
          <w:sz w:val="22"/>
          <w:szCs w:val="22"/>
        </w:rPr>
      </w:pPr>
    </w:p>
    <w:p w14:paraId="3F83848F" w14:textId="77777777" w:rsidR="00333652" w:rsidRPr="007D45CC" w:rsidRDefault="00333652" w:rsidP="00333652">
      <w:pPr>
        <w:ind w:firstLine="720"/>
        <w:rPr>
          <w:sz w:val="22"/>
          <w:szCs w:val="22"/>
          <w:lang w:val="en-US"/>
        </w:rPr>
      </w:pPr>
      <w:r w:rsidRPr="007D45CC">
        <w:rPr>
          <w:sz w:val="22"/>
          <w:szCs w:val="22"/>
          <w:lang w:val="en-US"/>
        </w:rPr>
        <w:t>Dato: 12. Oktober 2022</w:t>
      </w:r>
    </w:p>
    <w:p w14:paraId="33812EE7" w14:textId="77777777" w:rsidR="00333652" w:rsidRPr="007D45CC" w:rsidRDefault="00333652" w:rsidP="00333652">
      <w:pPr>
        <w:rPr>
          <w:sz w:val="22"/>
          <w:szCs w:val="22"/>
          <w:lang w:val="en-US"/>
        </w:rPr>
      </w:pPr>
    </w:p>
    <w:p w14:paraId="7DF11C4C" w14:textId="77777777" w:rsidR="00333652" w:rsidRPr="007D45CC" w:rsidRDefault="00333652" w:rsidP="00333652">
      <w:pPr>
        <w:ind w:firstLine="720"/>
        <w:rPr>
          <w:sz w:val="22"/>
          <w:szCs w:val="22"/>
          <w:lang w:val="en-US"/>
        </w:rPr>
      </w:pPr>
      <w:proofErr w:type="spellStart"/>
      <w:r w:rsidRPr="007D45CC">
        <w:rPr>
          <w:sz w:val="22"/>
          <w:szCs w:val="22"/>
          <w:lang w:val="en-US"/>
        </w:rPr>
        <w:t>Referenceperiode</w:t>
      </w:r>
      <w:proofErr w:type="spellEnd"/>
      <w:r w:rsidRPr="007D45CC">
        <w:rPr>
          <w:sz w:val="22"/>
          <w:szCs w:val="22"/>
          <w:lang w:val="en-US"/>
        </w:rPr>
        <w:t xml:space="preserve">: </w:t>
      </w:r>
      <w:proofErr w:type="spellStart"/>
      <w:r w:rsidRPr="007D45CC">
        <w:rPr>
          <w:sz w:val="22"/>
          <w:szCs w:val="22"/>
          <w:lang w:val="en-US"/>
        </w:rPr>
        <w:t>Januar</w:t>
      </w:r>
      <w:proofErr w:type="spellEnd"/>
      <w:r w:rsidRPr="007D45CC">
        <w:rPr>
          <w:sz w:val="22"/>
          <w:szCs w:val="22"/>
          <w:lang w:val="en-US"/>
        </w:rPr>
        <w:t xml:space="preserve"> 2019 – </w:t>
      </w:r>
      <w:proofErr w:type="spellStart"/>
      <w:r w:rsidRPr="007D45CC">
        <w:rPr>
          <w:sz w:val="22"/>
          <w:szCs w:val="22"/>
          <w:lang w:val="en-US"/>
        </w:rPr>
        <w:t>Januar</w:t>
      </w:r>
      <w:proofErr w:type="spellEnd"/>
      <w:r w:rsidRPr="007D45CC">
        <w:rPr>
          <w:sz w:val="22"/>
          <w:szCs w:val="22"/>
          <w:lang w:val="en-US"/>
        </w:rPr>
        <w:t xml:space="preserve"> 2022</w:t>
      </w:r>
    </w:p>
    <w:p w14:paraId="25D77B49" w14:textId="77777777" w:rsidR="00333652" w:rsidRPr="007D45CC" w:rsidRDefault="00333652" w:rsidP="00333652">
      <w:pPr>
        <w:rPr>
          <w:sz w:val="22"/>
          <w:szCs w:val="22"/>
          <w:lang w:val="en-US"/>
        </w:rPr>
      </w:pPr>
    </w:p>
    <w:p w14:paraId="56A153BE" w14:textId="77777777" w:rsidR="00333652" w:rsidRPr="00333652" w:rsidRDefault="00333652" w:rsidP="00333652">
      <w:pPr>
        <w:ind w:left="720"/>
        <w:rPr>
          <w:sz w:val="22"/>
          <w:szCs w:val="22"/>
          <w:lang w:val="en-US"/>
        </w:rPr>
      </w:pPr>
      <w:r w:rsidRPr="00333652">
        <w:rPr>
          <w:sz w:val="22"/>
          <w:szCs w:val="22"/>
          <w:lang w:val="en-US"/>
        </w:rPr>
        <w:t xml:space="preserve">Link: </w:t>
      </w:r>
      <w:hyperlink r:id="rId23" w:history="1">
        <w:r w:rsidRPr="00333652">
          <w:rPr>
            <w:rStyle w:val="Hyperlink"/>
            <w:sz w:val="22"/>
            <w:szCs w:val="22"/>
            <w:lang w:val="en-US"/>
          </w:rPr>
          <w:t>Follow-up report to the peer review on the propriety assessment of administrative, management and supervisory body members and qualifying shareholders - European Union (europa.eu)</w:t>
        </w:r>
      </w:hyperlink>
    </w:p>
    <w:p w14:paraId="06169105" w14:textId="77777777" w:rsidR="00333652" w:rsidRPr="00333652" w:rsidRDefault="00333652" w:rsidP="00333652">
      <w:pPr>
        <w:rPr>
          <w:sz w:val="22"/>
          <w:szCs w:val="22"/>
          <w:lang w:val="en-US"/>
        </w:rPr>
      </w:pPr>
    </w:p>
    <w:p w14:paraId="2AC61CFF" w14:textId="77777777" w:rsidR="00333652" w:rsidRPr="00333652" w:rsidRDefault="00333652" w:rsidP="00333652">
      <w:pPr>
        <w:rPr>
          <w:sz w:val="22"/>
          <w:szCs w:val="22"/>
          <w:lang w:val="en-US"/>
        </w:rPr>
      </w:pPr>
    </w:p>
    <w:p w14:paraId="0D53349D" w14:textId="70DC3E8F" w:rsidR="00333652" w:rsidRPr="00333652" w:rsidRDefault="00333652" w:rsidP="00333652">
      <w:pPr>
        <w:pStyle w:val="Listeafsnit"/>
        <w:numPr>
          <w:ilvl w:val="0"/>
          <w:numId w:val="18"/>
        </w:numPr>
        <w:rPr>
          <w:sz w:val="22"/>
          <w:szCs w:val="22"/>
        </w:rPr>
      </w:pPr>
      <w:r w:rsidRPr="00333652">
        <w:rPr>
          <w:sz w:val="22"/>
          <w:szCs w:val="22"/>
        </w:rPr>
        <w:t xml:space="preserve">Opfølgning på Peer </w:t>
      </w:r>
      <w:proofErr w:type="spellStart"/>
      <w:r w:rsidRPr="00333652">
        <w:rPr>
          <w:sz w:val="22"/>
          <w:szCs w:val="22"/>
        </w:rPr>
        <w:t>review</w:t>
      </w:r>
      <w:proofErr w:type="spellEnd"/>
      <w:r w:rsidRPr="00333652">
        <w:rPr>
          <w:sz w:val="22"/>
          <w:szCs w:val="22"/>
        </w:rPr>
        <w:t xml:space="preserve"> om tilsynspraksis af anvendelsen af </w:t>
      </w:r>
      <w:proofErr w:type="spellStart"/>
      <w:r w:rsidRPr="00333652">
        <w:rPr>
          <w:sz w:val="22"/>
          <w:szCs w:val="22"/>
        </w:rPr>
        <w:t>prudent</w:t>
      </w:r>
      <w:proofErr w:type="spellEnd"/>
      <w:r w:rsidRPr="00333652">
        <w:rPr>
          <w:sz w:val="22"/>
          <w:szCs w:val="22"/>
        </w:rPr>
        <w:t xml:space="preserve"> person-princippet for firmapensionskasser</w:t>
      </w:r>
    </w:p>
    <w:p w14:paraId="4C161392" w14:textId="77777777" w:rsidR="00333652" w:rsidRPr="00333652" w:rsidRDefault="00333652" w:rsidP="00333652">
      <w:pPr>
        <w:rPr>
          <w:sz w:val="22"/>
          <w:szCs w:val="22"/>
        </w:rPr>
      </w:pPr>
    </w:p>
    <w:p w14:paraId="05F9AC26" w14:textId="77777777" w:rsidR="00333652" w:rsidRPr="00333652" w:rsidRDefault="00333652" w:rsidP="00333652">
      <w:pPr>
        <w:ind w:firstLine="720"/>
        <w:rPr>
          <w:sz w:val="22"/>
          <w:szCs w:val="22"/>
          <w:lang w:val="en-US"/>
        </w:rPr>
      </w:pPr>
      <w:r w:rsidRPr="00333652">
        <w:rPr>
          <w:sz w:val="22"/>
          <w:szCs w:val="22"/>
          <w:lang w:val="en-US"/>
        </w:rPr>
        <w:t>Dato: 8. December 2023</w:t>
      </w:r>
    </w:p>
    <w:p w14:paraId="564DD4B1" w14:textId="77777777" w:rsidR="00333652" w:rsidRPr="00333652" w:rsidRDefault="00333652" w:rsidP="00333652">
      <w:pPr>
        <w:rPr>
          <w:sz w:val="22"/>
          <w:szCs w:val="22"/>
          <w:lang w:val="en-US"/>
        </w:rPr>
      </w:pPr>
    </w:p>
    <w:p w14:paraId="02E56E8F" w14:textId="77777777" w:rsidR="00333652" w:rsidRPr="00333652" w:rsidRDefault="00333652" w:rsidP="00333652">
      <w:pPr>
        <w:ind w:firstLine="720"/>
        <w:rPr>
          <w:sz w:val="22"/>
          <w:szCs w:val="22"/>
          <w:lang w:val="en-US"/>
        </w:rPr>
      </w:pPr>
      <w:proofErr w:type="spellStart"/>
      <w:r w:rsidRPr="00333652">
        <w:rPr>
          <w:sz w:val="22"/>
          <w:szCs w:val="22"/>
          <w:lang w:val="en-US"/>
        </w:rPr>
        <w:t>Referenceperiode</w:t>
      </w:r>
      <w:proofErr w:type="spellEnd"/>
      <w:r w:rsidRPr="00333652">
        <w:rPr>
          <w:sz w:val="22"/>
          <w:szCs w:val="22"/>
          <w:lang w:val="en-US"/>
        </w:rPr>
        <w:t>: April 2019 – December 2022</w:t>
      </w:r>
    </w:p>
    <w:p w14:paraId="36CF18C6" w14:textId="2EAF3E44" w:rsidR="00333652" w:rsidRPr="00333652" w:rsidRDefault="00333652" w:rsidP="00333652">
      <w:pPr>
        <w:rPr>
          <w:sz w:val="22"/>
          <w:szCs w:val="22"/>
          <w:lang w:val="en-US"/>
        </w:rPr>
      </w:pPr>
      <w:r w:rsidRPr="00333652">
        <w:rPr>
          <w:sz w:val="22"/>
          <w:szCs w:val="22"/>
          <w:lang w:val="en-US"/>
        </w:rPr>
        <w:tab/>
      </w:r>
    </w:p>
    <w:p w14:paraId="41F63FF2" w14:textId="77777777" w:rsidR="00333652" w:rsidRPr="00333652" w:rsidRDefault="00333652" w:rsidP="00333652">
      <w:pPr>
        <w:ind w:left="720"/>
        <w:rPr>
          <w:sz w:val="22"/>
          <w:szCs w:val="22"/>
          <w:lang w:val="en-US"/>
        </w:rPr>
      </w:pPr>
      <w:r w:rsidRPr="00333652">
        <w:rPr>
          <w:sz w:val="22"/>
          <w:szCs w:val="22"/>
          <w:lang w:val="en-US"/>
        </w:rPr>
        <w:t xml:space="preserve">Link: </w:t>
      </w:r>
      <w:hyperlink r:id="rId24" w:history="1">
        <w:r w:rsidRPr="00333652">
          <w:rPr>
            <w:rStyle w:val="Hyperlink"/>
            <w:sz w:val="22"/>
            <w:szCs w:val="22"/>
            <w:lang w:val="en-US"/>
          </w:rPr>
          <w:t>Follow-up Report on Peer Review on supervisory practices with respect to the application of the PPR for IORPs - European Union (europa.eu)</w:t>
        </w:r>
      </w:hyperlink>
    </w:p>
    <w:p w14:paraId="1EFFF37E" w14:textId="77777777" w:rsidR="00333652" w:rsidRPr="00333652" w:rsidRDefault="00333652" w:rsidP="00333652">
      <w:pPr>
        <w:rPr>
          <w:sz w:val="22"/>
          <w:szCs w:val="22"/>
          <w:lang w:val="en-US"/>
        </w:rPr>
      </w:pPr>
    </w:p>
    <w:p w14:paraId="5C2CF4AD" w14:textId="77777777" w:rsidR="00333652" w:rsidRPr="00333652" w:rsidRDefault="00333652" w:rsidP="00333652">
      <w:pPr>
        <w:rPr>
          <w:sz w:val="22"/>
          <w:szCs w:val="22"/>
          <w:lang w:val="en-US"/>
        </w:rPr>
      </w:pPr>
    </w:p>
    <w:p w14:paraId="43B36AC3" w14:textId="6BE3A02E" w:rsidR="00333652" w:rsidRPr="00333652" w:rsidRDefault="00333652" w:rsidP="00333652">
      <w:pPr>
        <w:pStyle w:val="Listeafsnit"/>
        <w:numPr>
          <w:ilvl w:val="0"/>
          <w:numId w:val="18"/>
        </w:numPr>
        <w:rPr>
          <w:sz w:val="22"/>
          <w:szCs w:val="22"/>
        </w:rPr>
      </w:pPr>
      <w:r w:rsidRPr="00333652">
        <w:rPr>
          <w:sz w:val="22"/>
          <w:szCs w:val="22"/>
        </w:rPr>
        <w:t xml:space="preserve">Peer </w:t>
      </w:r>
      <w:proofErr w:type="spellStart"/>
      <w:r w:rsidRPr="00333652">
        <w:rPr>
          <w:sz w:val="22"/>
          <w:szCs w:val="22"/>
        </w:rPr>
        <w:t>review</w:t>
      </w:r>
      <w:proofErr w:type="spellEnd"/>
      <w:r w:rsidRPr="00333652">
        <w:rPr>
          <w:sz w:val="22"/>
          <w:szCs w:val="22"/>
        </w:rPr>
        <w:t xml:space="preserve"> om tilsyn med </w:t>
      </w:r>
      <w:proofErr w:type="spellStart"/>
      <w:r w:rsidRPr="00333652">
        <w:rPr>
          <w:sz w:val="22"/>
          <w:szCs w:val="22"/>
        </w:rPr>
        <w:t>prudent</w:t>
      </w:r>
      <w:proofErr w:type="spellEnd"/>
      <w:r w:rsidRPr="00333652">
        <w:rPr>
          <w:sz w:val="22"/>
          <w:szCs w:val="22"/>
        </w:rPr>
        <w:t xml:space="preserve"> person-princippet under Solvens II</w:t>
      </w:r>
    </w:p>
    <w:p w14:paraId="5513937B" w14:textId="77777777" w:rsidR="00333652" w:rsidRPr="00333652" w:rsidRDefault="00333652" w:rsidP="00333652">
      <w:pPr>
        <w:rPr>
          <w:sz w:val="22"/>
          <w:szCs w:val="22"/>
        </w:rPr>
      </w:pPr>
    </w:p>
    <w:p w14:paraId="6B0DAAF3" w14:textId="77777777" w:rsidR="00333652" w:rsidRPr="00333652" w:rsidRDefault="00333652" w:rsidP="00333652">
      <w:pPr>
        <w:ind w:firstLine="720"/>
        <w:rPr>
          <w:sz w:val="22"/>
          <w:szCs w:val="22"/>
        </w:rPr>
      </w:pPr>
      <w:r w:rsidRPr="00333652">
        <w:rPr>
          <w:sz w:val="22"/>
          <w:szCs w:val="22"/>
        </w:rPr>
        <w:t>Dato: 2. Maj 2024</w:t>
      </w:r>
    </w:p>
    <w:p w14:paraId="0664213F" w14:textId="77777777" w:rsidR="00333652" w:rsidRPr="00333652" w:rsidRDefault="00333652" w:rsidP="00333652">
      <w:pPr>
        <w:rPr>
          <w:sz w:val="22"/>
          <w:szCs w:val="22"/>
        </w:rPr>
      </w:pPr>
    </w:p>
    <w:p w14:paraId="70DB4690" w14:textId="77777777" w:rsidR="0024456B" w:rsidRPr="007D45CC" w:rsidRDefault="00333652" w:rsidP="0024456B">
      <w:pPr>
        <w:ind w:firstLine="720"/>
        <w:rPr>
          <w:sz w:val="22"/>
          <w:szCs w:val="22"/>
        </w:rPr>
      </w:pPr>
      <w:r w:rsidRPr="007D45CC">
        <w:rPr>
          <w:sz w:val="22"/>
          <w:szCs w:val="22"/>
        </w:rPr>
        <w:t>Referenceperiode: 1. januar 2016 – 31. december 2022</w:t>
      </w:r>
    </w:p>
    <w:p w14:paraId="4F9D696D" w14:textId="77777777" w:rsidR="0024456B" w:rsidRPr="007D45CC" w:rsidRDefault="0024456B" w:rsidP="0024456B">
      <w:pPr>
        <w:ind w:firstLine="720"/>
        <w:rPr>
          <w:sz w:val="22"/>
          <w:szCs w:val="22"/>
        </w:rPr>
      </w:pPr>
    </w:p>
    <w:p w14:paraId="52DA7123" w14:textId="272EF5EE" w:rsidR="0024456B" w:rsidRPr="0024456B" w:rsidRDefault="0024456B" w:rsidP="0024456B">
      <w:pPr>
        <w:ind w:firstLine="720"/>
        <w:rPr>
          <w:sz w:val="22"/>
          <w:szCs w:val="22"/>
          <w:lang w:val="en-US"/>
        </w:rPr>
      </w:pPr>
      <w:r w:rsidRPr="0024456B">
        <w:rPr>
          <w:sz w:val="22"/>
          <w:szCs w:val="22"/>
          <w:lang w:val="en-US"/>
        </w:rPr>
        <w:t xml:space="preserve">Link: </w:t>
      </w:r>
      <w:hyperlink r:id="rId25" w:history="1">
        <w:r>
          <w:rPr>
            <w:rStyle w:val="Hyperlink"/>
            <w:sz w:val="22"/>
            <w:szCs w:val="22"/>
            <w:lang w:val="en-US"/>
          </w:rPr>
          <w:t>Peer Review Report on the Supervision of the Prudent Person Principle under Solvency II</w:t>
        </w:r>
      </w:hyperlink>
      <w:r>
        <w:rPr>
          <w:sz w:val="22"/>
          <w:szCs w:val="22"/>
          <w:lang w:val="en-US"/>
        </w:rPr>
        <w:t xml:space="preserve"> </w:t>
      </w:r>
    </w:p>
    <w:p w14:paraId="51D8F59E" w14:textId="77777777" w:rsidR="00D86D7F" w:rsidRPr="0024456B" w:rsidRDefault="00D86D7F" w:rsidP="00333652">
      <w:pPr>
        <w:rPr>
          <w:sz w:val="22"/>
          <w:szCs w:val="22"/>
          <w:lang w:val="en-US"/>
        </w:rPr>
      </w:pPr>
    </w:p>
    <w:p w14:paraId="1B7E57EE" w14:textId="77777777" w:rsidR="00D86D7F" w:rsidRPr="00D86D7F" w:rsidRDefault="00D86D7F" w:rsidP="00D86D7F">
      <w:pPr>
        <w:pStyle w:val="Listeafsnit"/>
        <w:numPr>
          <w:ilvl w:val="0"/>
          <w:numId w:val="18"/>
        </w:numPr>
        <w:rPr>
          <w:sz w:val="22"/>
          <w:szCs w:val="22"/>
        </w:rPr>
      </w:pPr>
      <w:r w:rsidRPr="00D86D7F">
        <w:rPr>
          <w:sz w:val="22"/>
          <w:szCs w:val="22"/>
        </w:rPr>
        <w:lastRenderedPageBreak/>
        <w:t xml:space="preserve">Opfølgning på </w:t>
      </w:r>
      <w:r w:rsidRPr="00605212">
        <w:rPr>
          <w:sz w:val="22"/>
          <w:szCs w:val="22"/>
        </w:rPr>
        <w:t xml:space="preserve">Peer </w:t>
      </w:r>
      <w:proofErr w:type="spellStart"/>
      <w:r w:rsidRPr="00605212">
        <w:rPr>
          <w:sz w:val="22"/>
          <w:szCs w:val="22"/>
        </w:rPr>
        <w:t>review</w:t>
      </w:r>
      <w:proofErr w:type="spellEnd"/>
      <w:r w:rsidRPr="00605212">
        <w:rPr>
          <w:sz w:val="22"/>
          <w:szCs w:val="22"/>
        </w:rPr>
        <w:t xml:space="preserve"> om samarbejdet mellem tilsynsmyndigheder</w:t>
      </w:r>
      <w:r w:rsidRPr="00D86D7F">
        <w:rPr>
          <w:sz w:val="22"/>
          <w:szCs w:val="22"/>
        </w:rPr>
        <w:t xml:space="preserve"> </w:t>
      </w:r>
    </w:p>
    <w:p w14:paraId="5E964CD4" w14:textId="77777777" w:rsidR="00D86D7F" w:rsidRPr="0024456B" w:rsidRDefault="00D86D7F" w:rsidP="00D86D7F">
      <w:pPr>
        <w:rPr>
          <w:sz w:val="22"/>
          <w:szCs w:val="22"/>
        </w:rPr>
      </w:pPr>
    </w:p>
    <w:p w14:paraId="470E58FA" w14:textId="34D7AF58" w:rsidR="00D86D7F" w:rsidRPr="00333652" w:rsidRDefault="00D86D7F" w:rsidP="00D86D7F">
      <w:pPr>
        <w:ind w:firstLine="720"/>
        <w:rPr>
          <w:sz w:val="22"/>
          <w:szCs w:val="22"/>
        </w:rPr>
      </w:pPr>
      <w:r w:rsidRPr="00333652">
        <w:rPr>
          <w:sz w:val="22"/>
          <w:szCs w:val="22"/>
        </w:rPr>
        <w:t xml:space="preserve">Dato: </w:t>
      </w:r>
      <w:r w:rsidR="0024456B">
        <w:rPr>
          <w:sz w:val="22"/>
          <w:szCs w:val="22"/>
        </w:rPr>
        <w:t>14. august</w:t>
      </w:r>
      <w:r w:rsidRPr="00333652">
        <w:rPr>
          <w:sz w:val="22"/>
          <w:szCs w:val="22"/>
        </w:rPr>
        <w:t xml:space="preserve"> 2024</w:t>
      </w:r>
    </w:p>
    <w:p w14:paraId="0C78413F" w14:textId="77777777" w:rsidR="00D86D7F" w:rsidRPr="00333652" w:rsidRDefault="00D86D7F" w:rsidP="00D86D7F">
      <w:pPr>
        <w:rPr>
          <w:sz w:val="22"/>
          <w:szCs w:val="22"/>
        </w:rPr>
      </w:pPr>
    </w:p>
    <w:p w14:paraId="7C6BB9DE" w14:textId="3FA78E48" w:rsidR="00D86D7F" w:rsidRPr="007D45CC" w:rsidRDefault="00D86D7F" w:rsidP="00D86D7F">
      <w:pPr>
        <w:ind w:firstLine="720"/>
        <w:rPr>
          <w:sz w:val="22"/>
          <w:szCs w:val="22"/>
        </w:rPr>
      </w:pPr>
      <w:r w:rsidRPr="007D45CC">
        <w:rPr>
          <w:sz w:val="22"/>
          <w:szCs w:val="22"/>
        </w:rPr>
        <w:t xml:space="preserve">Referenceperiode: 1. </w:t>
      </w:r>
      <w:r w:rsidR="0024456B" w:rsidRPr="007D45CC">
        <w:rPr>
          <w:sz w:val="22"/>
          <w:szCs w:val="22"/>
        </w:rPr>
        <w:t>juli</w:t>
      </w:r>
      <w:r w:rsidRPr="007D45CC">
        <w:rPr>
          <w:sz w:val="22"/>
          <w:szCs w:val="22"/>
        </w:rPr>
        <w:t xml:space="preserve"> </w:t>
      </w:r>
      <w:r w:rsidR="0024456B" w:rsidRPr="007D45CC">
        <w:rPr>
          <w:sz w:val="22"/>
          <w:szCs w:val="22"/>
        </w:rPr>
        <w:t>2019</w:t>
      </w:r>
      <w:r w:rsidRPr="007D45CC">
        <w:rPr>
          <w:sz w:val="22"/>
          <w:szCs w:val="22"/>
        </w:rPr>
        <w:t xml:space="preserve"> – 31. </w:t>
      </w:r>
      <w:r w:rsidR="0024456B" w:rsidRPr="007D45CC">
        <w:rPr>
          <w:sz w:val="22"/>
          <w:szCs w:val="22"/>
        </w:rPr>
        <w:t>juni</w:t>
      </w:r>
      <w:r w:rsidRPr="007D45CC">
        <w:rPr>
          <w:sz w:val="22"/>
          <w:szCs w:val="22"/>
        </w:rPr>
        <w:t xml:space="preserve"> </w:t>
      </w:r>
      <w:r w:rsidR="0024456B" w:rsidRPr="007D45CC">
        <w:rPr>
          <w:sz w:val="22"/>
          <w:szCs w:val="22"/>
        </w:rPr>
        <w:t>2023</w:t>
      </w:r>
    </w:p>
    <w:p w14:paraId="4BC66B64" w14:textId="77777777" w:rsidR="00D86D7F" w:rsidRPr="007D45CC" w:rsidRDefault="00D86D7F" w:rsidP="00D86D7F">
      <w:pPr>
        <w:rPr>
          <w:sz w:val="22"/>
          <w:szCs w:val="22"/>
        </w:rPr>
      </w:pPr>
    </w:p>
    <w:p w14:paraId="25D29D7B" w14:textId="552059C1" w:rsidR="00333652" w:rsidRPr="0024456B" w:rsidRDefault="00D86D7F" w:rsidP="00333652">
      <w:pPr>
        <w:ind w:left="720"/>
        <w:rPr>
          <w:sz w:val="22"/>
          <w:szCs w:val="22"/>
          <w:lang w:val="en-US"/>
        </w:rPr>
      </w:pPr>
      <w:r w:rsidRPr="0024456B">
        <w:rPr>
          <w:sz w:val="22"/>
          <w:szCs w:val="22"/>
          <w:lang w:val="en-US"/>
        </w:rPr>
        <w:t xml:space="preserve">Link: </w:t>
      </w:r>
      <w:hyperlink r:id="rId26" w:history="1">
        <w:r w:rsidR="0024456B" w:rsidRPr="0024456B">
          <w:rPr>
            <w:rStyle w:val="Hyperlink"/>
            <w:lang w:val="en-US"/>
          </w:rPr>
          <w:t>Follow-up Report on EIOPA's Peer Review on the collaboration of supervisory authorities</w:t>
        </w:r>
      </w:hyperlink>
      <w:r w:rsidRPr="0024456B">
        <w:rPr>
          <w:lang w:val="en-US"/>
        </w:rPr>
        <w:t xml:space="preserve"> </w:t>
      </w:r>
    </w:p>
    <w:p w14:paraId="1225D59B" w14:textId="77777777" w:rsidR="00333652" w:rsidRPr="0024456B" w:rsidRDefault="00333652" w:rsidP="00333652">
      <w:pPr>
        <w:spacing w:line="276" w:lineRule="auto"/>
        <w:ind w:left="426" w:hanging="426"/>
        <w:rPr>
          <w:sz w:val="22"/>
          <w:szCs w:val="22"/>
          <w:lang w:val="en-US"/>
        </w:rPr>
      </w:pPr>
    </w:p>
    <w:p w14:paraId="66389CBB" w14:textId="77777777" w:rsidR="00333652" w:rsidRPr="0024456B" w:rsidRDefault="00333652" w:rsidP="009D4579">
      <w:pPr>
        <w:pStyle w:val="Listeafsnit"/>
        <w:numPr>
          <w:ilvl w:val="0"/>
          <w:numId w:val="0"/>
        </w:numPr>
        <w:spacing w:line="276" w:lineRule="auto"/>
        <w:ind w:left="720"/>
        <w:rPr>
          <w:sz w:val="22"/>
          <w:szCs w:val="22"/>
          <w:lang w:val="en-US"/>
        </w:rPr>
      </w:pPr>
    </w:p>
    <w:p w14:paraId="7FDAED23" w14:textId="77777777" w:rsidR="00333652" w:rsidRPr="0024456B" w:rsidRDefault="00333652" w:rsidP="009D4579">
      <w:pPr>
        <w:pStyle w:val="Listeafsnit"/>
        <w:numPr>
          <w:ilvl w:val="0"/>
          <w:numId w:val="0"/>
        </w:numPr>
        <w:spacing w:line="276" w:lineRule="auto"/>
        <w:ind w:left="720"/>
        <w:rPr>
          <w:sz w:val="22"/>
          <w:szCs w:val="22"/>
          <w:lang w:val="en-US"/>
        </w:rPr>
      </w:pPr>
    </w:p>
    <w:p w14:paraId="016049EC" w14:textId="77777777" w:rsidR="002A47FC" w:rsidRPr="00333652" w:rsidRDefault="002A47FC" w:rsidP="00A16177">
      <w:pPr>
        <w:spacing w:line="276" w:lineRule="auto"/>
        <w:rPr>
          <w:sz w:val="22"/>
          <w:szCs w:val="22"/>
        </w:rPr>
      </w:pPr>
      <w:r w:rsidRPr="00333652">
        <w:rPr>
          <w:sz w:val="22"/>
          <w:szCs w:val="22"/>
        </w:rPr>
        <w:t>Referenceperiode henviser til den periode, hvor de nationale tilsynsmyndigheders praksis blev vurderet.</w:t>
      </w:r>
    </w:p>
    <w:p w14:paraId="3AC97629" w14:textId="2E6E1270" w:rsidR="002A47FC" w:rsidRPr="00333652" w:rsidRDefault="002A47FC" w:rsidP="00A16177">
      <w:pPr>
        <w:spacing w:line="276" w:lineRule="auto"/>
        <w:rPr>
          <w:sz w:val="22"/>
          <w:szCs w:val="22"/>
        </w:rPr>
      </w:pPr>
    </w:p>
    <w:sectPr w:rsidR="002A47FC" w:rsidRPr="00333652" w:rsidSect="00E84CFE">
      <w:headerReference w:type="default" r:id="rId27"/>
      <w:footerReference w:type="default" r:id="rId28"/>
      <w:headerReference w:type="first" r:id="rId29"/>
      <w:footerReference w:type="first" r:id="rId30"/>
      <w:pgSz w:w="11906" w:h="16838"/>
      <w:pgMar w:top="1701" w:right="1134" w:bottom="993" w:left="1134"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1E9E" w14:textId="77777777" w:rsidR="002A47FC" w:rsidRDefault="002A47FC" w:rsidP="00AE438C">
      <w:r>
        <w:separator/>
      </w:r>
    </w:p>
    <w:p w14:paraId="4ED5746E" w14:textId="77777777" w:rsidR="002A47FC" w:rsidRDefault="002A47FC" w:rsidP="00AE438C"/>
    <w:p w14:paraId="6DE0826A" w14:textId="77777777" w:rsidR="002A47FC" w:rsidRDefault="002A47FC" w:rsidP="00AE438C"/>
    <w:p w14:paraId="58F81045" w14:textId="77777777" w:rsidR="002A47FC" w:rsidRDefault="002A47FC" w:rsidP="00AE438C"/>
  </w:endnote>
  <w:endnote w:type="continuationSeparator" w:id="0">
    <w:p w14:paraId="55F9ABCB" w14:textId="77777777" w:rsidR="002A47FC" w:rsidRDefault="002A47FC" w:rsidP="00AE438C">
      <w:r>
        <w:continuationSeparator/>
      </w:r>
    </w:p>
    <w:p w14:paraId="66406362" w14:textId="77777777" w:rsidR="002A47FC" w:rsidRDefault="002A47FC" w:rsidP="00AE438C"/>
    <w:p w14:paraId="4F31A23C" w14:textId="77777777" w:rsidR="002A47FC" w:rsidRDefault="002A47FC" w:rsidP="00AE438C"/>
    <w:p w14:paraId="3E29A666" w14:textId="77777777" w:rsidR="002A47FC" w:rsidRDefault="002A47FC" w:rsidP="00AE4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C6BF" w14:textId="73E7D86B" w:rsidR="00E84CFE" w:rsidRDefault="00E84CFE" w:rsidP="00E84CFE">
    <w:pPr>
      <w:pStyle w:val="Sidefod"/>
    </w:pPr>
    <w:r>
      <w:br/>
      <w:t>Sidst opdateret: 01-</w:t>
    </w:r>
    <w:r w:rsidR="00333652">
      <w:t>08</w:t>
    </w:r>
    <w:r>
      <w:t>-202</w:t>
    </w:r>
    <w:r w:rsidR="00333652">
      <w:t>4</w:t>
    </w:r>
    <w:r>
      <w:tab/>
    </w:r>
    <w:r>
      <w:tab/>
    </w:r>
    <w:sdt>
      <w:sdtPr>
        <w:id w:val="-76392190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Side </w:t>
            </w:r>
            <w:r>
              <w:rPr>
                <w:sz w:val="24"/>
                <w:szCs w:val="24"/>
              </w:rPr>
              <w:fldChar w:fldCharType="begin"/>
            </w:r>
            <w:r>
              <w:instrText>PAGE</w:instrText>
            </w:r>
            <w:r>
              <w:rPr>
                <w:sz w:val="24"/>
                <w:szCs w:val="24"/>
              </w:rPr>
              <w:fldChar w:fldCharType="separate"/>
            </w:r>
            <w:r>
              <w:t>2</w:t>
            </w:r>
            <w:r>
              <w:rPr>
                <w:sz w:val="24"/>
                <w:szCs w:val="24"/>
              </w:rPr>
              <w:fldChar w:fldCharType="end"/>
            </w:r>
            <w:r>
              <w:t xml:space="preserve"> af </w:t>
            </w:r>
            <w:r>
              <w:rPr>
                <w:sz w:val="24"/>
                <w:szCs w:val="24"/>
              </w:rPr>
              <w:fldChar w:fldCharType="begin"/>
            </w:r>
            <w:r>
              <w:instrText>NUMPAGES</w:instrText>
            </w:r>
            <w:r>
              <w:rPr>
                <w:sz w:val="24"/>
                <w:szCs w:val="24"/>
              </w:rPr>
              <w:fldChar w:fldCharType="separate"/>
            </w:r>
            <w:r>
              <w:t>2</w:t>
            </w:r>
            <w:r>
              <w:rPr>
                <w:sz w:val="24"/>
                <w:szCs w:val="24"/>
              </w:rPr>
              <w:fldChar w:fldCharType="end"/>
            </w:r>
            <w:r>
              <w:rPr>
                <w:sz w:val="24"/>
                <w:szCs w:val="24"/>
              </w:rPr>
              <w:tab/>
            </w:r>
            <w:r>
              <w:rPr>
                <w:sz w:val="24"/>
                <w:szCs w:val="24"/>
              </w:rPr>
              <w:tab/>
            </w:r>
            <w:r>
              <w:rPr>
                <w:sz w:val="24"/>
                <w:szCs w:val="24"/>
              </w:rPr>
              <w:tab/>
            </w:r>
          </w:sdtContent>
        </w:sdt>
      </w:sdtContent>
    </w:sdt>
  </w:p>
  <w:p w14:paraId="6E6A09F4" w14:textId="5B749BFE" w:rsidR="00C02AE8" w:rsidRDefault="00C02AE8" w:rsidP="00E84C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E3E7" w14:textId="77777777" w:rsidR="00C02AE8" w:rsidRDefault="00C02AE8" w:rsidP="00E84CFE">
    <w:pPr>
      <w:pStyle w:val="Sidefod"/>
    </w:pPr>
  </w:p>
  <w:p w14:paraId="26A51AF7" w14:textId="7EF35474" w:rsidR="00C02AE8" w:rsidRDefault="00B8567D" w:rsidP="00E84CFE">
    <w:pPr>
      <w:pStyle w:val="Sidefod"/>
    </w:pPr>
    <w:r>
      <w:t>Sidst opdateret: 01-</w:t>
    </w:r>
    <w:r w:rsidR="00BF38BC">
      <w:t>08</w:t>
    </w:r>
    <w:r>
      <w:t>-2023</w:t>
    </w:r>
    <w:r>
      <w:tab/>
    </w:r>
    <w:r>
      <w:tab/>
    </w:r>
    <w:r w:rsidR="00E84CFE">
      <w:t xml:space="preserve">Side </w:t>
    </w:r>
    <w:r w:rsidR="00E84CFE">
      <w:rPr>
        <w:sz w:val="24"/>
        <w:szCs w:val="24"/>
      </w:rPr>
      <w:fldChar w:fldCharType="begin"/>
    </w:r>
    <w:r w:rsidR="00E84CFE">
      <w:instrText>PAGE</w:instrText>
    </w:r>
    <w:r w:rsidR="00E84CFE">
      <w:rPr>
        <w:sz w:val="24"/>
        <w:szCs w:val="24"/>
      </w:rPr>
      <w:fldChar w:fldCharType="separate"/>
    </w:r>
    <w:r w:rsidR="00E84CFE">
      <w:rPr>
        <w:sz w:val="24"/>
      </w:rPr>
      <w:t>2</w:t>
    </w:r>
    <w:r w:rsidR="00E84CFE">
      <w:rPr>
        <w:sz w:val="24"/>
        <w:szCs w:val="24"/>
      </w:rPr>
      <w:fldChar w:fldCharType="end"/>
    </w:r>
    <w:r w:rsidR="00E84CFE">
      <w:t xml:space="preserve"> af </w:t>
    </w:r>
    <w:r w:rsidR="00E84CFE">
      <w:rPr>
        <w:sz w:val="24"/>
        <w:szCs w:val="24"/>
      </w:rPr>
      <w:fldChar w:fldCharType="begin"/>
    </w:r>
    <w:r w:rsidR="00E84CFE">
      <w:instrText>NUMPAGES</w:instrText>
    </w:r>
    <w:r w:rsidR="00E84CFE">
      <w:rPr>
        <w:sz w:val="24"/>
        <w:szCs w:val="24"/>
      </w:rPr>
      <w:fldChar w:fldCharType="separate"/>
    </w:r>
    <w:r w:rsidR="00E84CFE">
      <w:rPr>
        <w:sz w:val="24"/>
      </w:rPr>
      <w:t>5</w:t>
    </w:r>
    <w:r w:rsidR="00E84CFE">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A4E3" w14:textId="77777777" w:rsidR="002A47FC" w:rsidRDefault="002A47FC" w:rsidP="00AE438C">
      <w:r>
        <w:separator/>
      </w:r>
    </w:p>
  </w:footnote>
  <w:footnote w:type="continuationSeparator" w:id="0">
    <w:p w14:paraId="2C226D90" w14:textId="77777777" w:rsidR="002A47FC" w:rsidRDefault="002A47FC" w:rsidP="00AE438C">
      <w:r>
        <w:continuationSeparator/>
      </w:r>
    </w:p>
    <w:p w14:paraId="3FD1EB94" w14:textId="77777777" w:rsidR="002A47FC" w:rsidRDefault="002A47FC" w:rsidP="00AE438C"/>
    <w:p w14:paraId="7347646E" w14:textId="77777777" w:rsidR="002A47FC" w:rsidRDefault="002A47FC" w:rsidP="00AE438C"/>
    <w:p w14:paraId="14E4BDBC" w14:textId="77777777" w:rsidR="002A47FC" w:rsidRDefault="002A47FC" w:rsidP="00AE4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B86D" w14:textId="77777777" w:rsidR="006D1CAF" w:rsidRDefault="006D1CAF">
    <w:pPr>
      <w:pStyle w:val="Sidehoved"/>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4366" w14:textId="77777777" w:rsidR="001749CB" w:rsidRDefault="001749CB">
    <w:pPr>
      <w:pStyle w:val="Sidehoved"/>
    </w:pPr>
    <w:r>
      <w:rPr>
        <w:noProof/>
      </w:rPr>
      <w:drawing>
        <wp:anchor distT="0" distB="0" distL="114300" distR="114300" simplePos="0" relativeHeight="251658752" behindDoc="0" locked="0" layoutInCell="1" allowOverlap="1" wp14:anchorId="5BFAB6E9" wp14:editId="0573BF53">
          <wp:simplePos x="0" y="0"/>
          <wp:positionH relativeFrom="page">
            <wp:posOffset>2841211</wp:posOffset>
          </wp:positionH>
          <wp:positionV relativeFrom="page">
            <wp:posOffset>238125</wp:posOffset>
          </wp:positionV>
          <wp:extent cx="1863352" cy="586409"/>
          <wp:effectExtent l="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863352" cy="5864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0E6"/>
    <w:multiLevelType w:val="hybridMultilevel"/>
    <w:tmpl w:val="72988B5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5A4062"/>
    <w:multiLevelType w:val="hybridMultilevel"/>
    <w:tmpl w:val="D6B2FF78"/>
    <w:lvl w:ilvl="0" w:tplc="78D04BA8">
      <w:start w:val="1"/>
      <w:numFmt w:val="lowerLetter"/>
      <w:lvlText w:val="%1)"/>
      <w:lvlJc w:val="left"/>
      <w:pPr>
        <w:ind w:left="720" w:hanging="360"/>
      </w:pPr>
      <w:rPr>
        <w:rFonts w:hint="default"/>
        <w:sz w:val="2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1C2D15"/>
    <w:multiLevelType w:val="hybridMultilevel"/>
    <w:tmpl w:val="76003DE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351C7F"/>
    <w:multiLevelType w:val="hybridMultilevel"/>
    <w:tmpl w:val="53CAC63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DCC5B61"/>
    <w:multiLevelType w:val="hybridMultilevel"/>
    <w:tmpl w:val="4FFCE310"/>
    <w:lvl w:ilvl="0" w:tplc="783C3764">
      <w:start w:val="1"/>
      <w:numFmt w:val="decimal"/>
      <w:pStyle w:val="ListeTal"/>
      <w:lvlText w:val="%1."/>
      <w:lvlJc w:val="left"/>
      <w:pPr>
        <w:ind w:left="1440" w:hanging="360"/>
      </w:pPr>
      <w:rPr>
        <w:rFonts w:hint="default"/>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1E1D7078"/>
    <w:multiLevelType w:val="hybridMultilevel"/>
    <w:tmpl w:val="EBD83EC4"/>
    <w:lvl w:ilvl="0" w:tplc="50EE286C">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26AB2326"/>
    <w:multiLevelType w:val="multilevel"/>
    <w:tmpl w:val="DF101086"/>
    <w:numStyleLink w:val="Punkter"/>
  </w:abstractNum>
  <w:abstractNum w:abstractNumId="7" w15:restartNumberingAfterBreak="0">
    <w:nsid w:val="283774B2"/>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82D4F"/>
    <w:multiLevelType w:val="hybridMultilevel"/>
    <w:tmpl w:val="D96A653A"/>
    <w:lvl w:ilvl="0" w:tplc="8A2AD888">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2DB82B2C"/>
    <w:multiLevelType w:val="multilevel"/>
    <w:tmpl w:val="DF101086"/>
    <w:styleLink w:val="Punkter"/>
    <w:lvl w:ilvl="0">
      <w:start w:val="1"/>
      <w:numFmt w:val="decimal"/>
      <w:lvlText w:val="%1)"/>
      <w:lvlJc w:val="lef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AA488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D2754CF"/>
    <w:multiLevelType w:val="hybridMultilevel"/>
    <w:tmpl w:val="0F62975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429B6A8C"/>
    <w:multiLevelType w:val="hybridMultilevel"/>
    <w:tmpl w:val="E88ABE26"/>
    <w:lvl w:ilvl="0" w:tplc="2E04B5F8">
      <w:start w:val="1"/>
      <w:numFmt w:val="bullet"/>
      <w:pStyle w:val="Listeafsni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42B854C5"/>
    <w:multiLevelType w:val="hybridMultilevel"/>
    <w:tmpl w:val="D68EA5FC"/>
    <w:lvl w:ilvl="0" w:tplc="60F4E4D6">
      <w:start w:val="1"/>
      <w:numFmt w:val="lowerLetter"/>
      <w:pStyle w:val="ListeBogstav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51351C7B"/>
    <w:multiLevelType w:val="multilevel"/>
    <w:tmpl w:val="B938264C"/>
    <w:numStyleLink w:val="TypografiPunkttegn"/>
  </w:abstractNum>
  <w:abstractNum w:abstractNumId="15" w15:restartNumberingAfterBreak="0">
    <w:nsid w:val="52525E2D"/>
    <w:multiLevelType w:val="multilevel"/>
    <w:tmpl w:val="7CFE8538"/>
    <w:lvl w:ilvl="0">
      <w:start w:val="1"/>
      <w:numFmt w:val="decimal"/>
      <w:pStyle w:val="Underoverskrif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0B6335"/>
    <w:multiLevelType w:val="multilevel"/>
    <w:tmpl w:val="B938264C"/>
    <w:numStyleLink w:val="TypografiPunkttegn"/>
  </w:abstractNum>
  <w:abstractNum w:abstractNumId="17" w15:restartNumberingAfterBreak="0">
    <w:nsid w:val="612C16EB"/>
    <w:multiLevelType w:val="hybridMultilevel"/>
    <w:tmpl w:val="B93826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D30B7"/>
    <w:multiLevelType w:val="multilevel"/>
    <w:tmpl w:val="B938264C"/>
    <w:styleLink w:val="TypografiPunkttegn"/>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516E88"/>
    <w:multiLevelType w:val="multilevel"/>
    <w:tmpl w:val="5950B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1680045">
    <w:abstractNumId w:val="5"/>
  </w:num>
  <w:num w:numId="2" w16cid:durableId="795492866">
    <w:abstractNumId w:val="8"/>
  </w:num>
  <w:num w:numId="3" w16cid:durableId="2035106385">
    <w:abstractNumId w:val="10"/>
  </w:num>
  <w:num w:numId="4" w16cid:durableId="138882983">
    <w:abstractNumId w:val="17"/>
  </w:num>
  <w:num w:numId="5" w16cid:durableId="1779450670">
    <w:abstractNumId w:val="18"/>
  </w:num>
  <w:num w:numId="6" w16cid:durableId="657998822">
    <w:abstractNumId w:val="14"/>
  </w:num>
  <w:num w:numId="7" w16cid:durableId="1374228546">
    <w:abstractNumId w:val="16"/>
  </w:num>
  <w:num w:numId="8" w16cid:durableId="1766686070">
    <w:abstractNumId w:val="11"/>
  </w:num>
  <w:num w:numId="9" w16cid:durableId="1021778732">
    <w:abstractNumId w:val="9"/>
  </w:num>
  <w:num w:numId="10" w16cid:durableId="1128820245">
    <w:abstractNumId w:val="6"/>
  </w:num>
  <w:num w:numId="11" w16cid:durableId="871921667">
    <w:abstractNumId w:val="12"/>
  </w:num>
  <w:num w:numId="12" w16cid:durableId="568658697">
    <w:abstractNumId w:val="7"/>
  </w:num>
  <w:num w:numId="13" w16cid:durableId="1220705651">
    <w:abstractNumId w:val="13"/>
  </w:num>
  <w:num w:numId="14" w16cid:durableId="1523326121">
    <w:abstractNumId w:val="4"/>
  </w:num>
  <w:num w:numId="15" w16cid:durableId="1755276118">
    <w:abstractNumId w:val="15"/>
  </w:num>
  <w:num w:numId="16" w16cid:durableId="2142142226">
    <w:abstractNumId w:val="0"/>
  </w:num>
  <w:num w:numId="17" w16cid:durableId="1881237468">
    <w:abstractNumId w:val="1"/>
  </w:num>
  <w:num w:numId="18" w16cid:durableId="171536143">
    <w:abstractNumId w:val="3"/>
  </w:num>
  <w:num w:numId="19" w16cid:durableId="2095392610">
    <w:abstractNumId w:val="19"/>
  </w:num>
  <w:num w:numId="20" w16cid:durableId="1915165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verskrift" w:val="Empty"/>
    <w:docVar w:name="start" w:val="Empty"/>
  </w:docVars>
  <w:rsids>
    <w:rsidRoot w:val="002A47FC"/>
    <w:rsid w:val="00005E5F"/>
    <w:rsid w:val="000801FA"/>
    <w:rsid w:val="000B250F"/>
    <w:rsid w:val="000B79A2"/>
    <w:rsid w:val="000C3E85"/>
    <w:rsid w:val="000F3D08"/>
    <w:rsid w:val="00115D22"/>
    <w:rsid w:val="001273C0"/>
    <w:rsid w:val="001327D9"/>
    <w:rsid w:val="00132847"/>
    <w:rsid w:val="0013690F"/>
    <w:rsid w:val="00144050"/>
    <w:rsid w:val="00147FA2"/>
    <w:rsid w:val="00157290"/>
    <w:rsid w:val="0016160D"/>
    <w:rsid w:val="001749CB"/>
    <w:rsid w:val="00177CB4"/>
    <w:rsid w:val="001944D8"/>
    <w:rsid w:val="001A544C"/>
    <w:rsid w:val="001D0CC2"/>
    <w:rsid w:val="00200CC2"/>
    <w:rsid w:val="00223B2C"/>
    <w:rsid w:val="0024456B"/>
    <w:rsid w:val="002A00F7"/>
    <w:rsid w:val="002A47FC"/>
    <w:rsid w:val="002A4C8D"/>
    <w:rsid w:val="00303389"/>
    <w:rsid w:val="00320985"/>
    <w:rsid w:val="00333652"/>
    <w:rsid w:val="00337314"/>
    <w:rsid w:val="00346438"/>
    <w:rsid w:val="00391EA6"/>
    <w:rsid w:val="003C1F00"/>
    <w:rsid w:val="003C78BC"/>
    <w:rsid w:val="00407191"/>
    <w:rsid w:val="00413B59"/>
    <w:rsid w:val="004268E3"/>
    <w:rsid w:val="00427D24"/>
    <w:rsid w:val="00452692"/>
    <w:rsid w:val="004A1F49"/>
    <w:rsid w:val="005000E6"/>
    <w:rsid w:val="00510739"/>
    <w:rsid w:val="00555CCD"/>
    <w:rsid w:val="005716DB"/>
    <w:rsid w:val="005728C2"/>
    <w:rsid w:val="005C603D"/>
    <w:rsid w:val="005E298A"/>
    <w:rsid w:val="00605212"/>
    <w:rsid w:val="006163FB"/>
    <w:rsid w:val="0062648B"/>
    <w:rsid w:val="006342D0"/>
    <w:rsid w:val="00635CD1"/>
    <w:rsid w:val="00647AD5"/>
    <w:rsid w:val="00686A96"/>
    <w:rsid w:val="006B139B"/>
    <w:rsid w:val="006B19ED"/>
    <w:rsid w:val="006B671D"/>
    <w:rsid w:val="006D1CAF"/>
    <w:rsid w:val="007000EB"/>
    <w:rsid w:val="007005B6"/>
    <w:rsid w:val="00710A30"/>
    <w:rsid w:val="007277EC"/>
    <w:rsid w:val="007602BF"/>
    <w:rsid w:val="007D0D33"/>
    <w:rsid w:val="007D45CC"/>
    <w:rsid w:val="007E0D3E"/>
    <w:rsid w:val="00820F79"/>
    <w:rsid w:val="008650D1"/>
    <w:rsid w:val="008823EB"/>
    <w:rsid w:val="008A0E26"/>
    <w:rsid w:val="008C243A"/>
    <w:rsid w:val="008D046B"/>
    <w:rsid w:val="00905EA9"/>
    <w:rsid w:val="00993ACB"/>
    <w:rsid w:val="009A46D8"/>
    <w:rsid w:val="009A6752"/>
    <w:rsid w:val="009D4579"/>
    <w:rsid w:val="00A06BBD"/>
    <w:rsid w:val="00A0762D"/>
    <w:rsid w:val="00A16177"/>
    <w:rsid w:val="00A32319"/>
    <w:rsid w:val="00A563D9"/>
    <w:rsid w:val="00A6339A"/>
    <w:rsid w:val="00A701AE"/>
    <w:rsid w:val="00AB5B2F"/>
    <w:rsid w:val="00AB7CFA"/>
    <w:rsid w:val="00AD136F"/>
    <w:rsid w:val="00AE438C"/>
    <w:rsid w:val="00B57725"/>
    <w:rsid w:val="00B67486"/>
    <w:rsid w:val="00B7085E"/>
    <w:rsid w:val="00B8567D"/>
    <w:rsid w:val="00B86706"/>
    <w:rsid w:val="00B94369"/>
    <w:rsid w:val="00B9525E"/>
    <w:rsid w:val="00BD5735"/>
    <w:rsid w:val="00BE1625"/>
    <w:rsid w:val="00BF38BC"/>
    <w:rsid w:val="00BF3A8C"/>
    <w:rsid w:val="00C006AD"/>
    <w:rsid w:val="00C02AE8"/>
    <w:rsid w:val="00C31917"/>
    <w:rsid w:val="00C44340"/>
    <w:rsid w:val="00C71770"/>
    <w:rsid w:val="00CA3BB1"/>
    <w:rsid w:val="00CC7205"/>
    <w:rsid w:val="00CD29FB"/>
    <w:rsid w:val="00CD34EC"/>
    <w:rsid w:val="00CE57F2"/>
    <w:rsid w:val="00D54055"/>
    <w:rsid w:val="00D63E65"/>
    <w:rsid w:val="00D74E5C"/>
    <w:rsid w:val="00D77637"/>
    <w:rsid w:val="00D8589C"/>
    <w:rsid w:val="00D86D7F"/>
    <w:rsid w:val="00DC3FFE"/>
    <w:rsid w:val="00DC406E"/>
    <w:rsid w:val="00DD0DAA"/>
    <w:rsid w:val="00DE6313"/>
    <w:rsid w:val="00DF7D98"/>
    <w:rsid w:val="00E05E25"/>
    <w:rsid w:val="00E30D66"/>
    <w:rsid w:val="00E469CE"/>
    <w:rsid w:val="00E84CFE"/>
    <w:rsid w:val="00E904ED"/>
    <w:rsid w:val="00EC5B18"/>
    <w:rsid w:val="00F50FF6"/>
    <w:rsid w:val="00F76BAF"/>
    <w:rsid w:val="00FA6193"/>
    <w:rsid w:val="00FC7241"/>
    <w:rsid w:val="00FE4D59"/>
    <w:rsid w:val="00FF03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AEA1B"/>
  <w15:docId w15:val="{EAD70DB1-D3AB-4F23-9F2A-1CD3FBBE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B6"/>
    <w:pPr>
      <w:spacing w:line="280" w:lineRule="exact"/>
      <w:jc w:val="both"/>
    </w:pPr>
    <w:rPr>
      <w:rFonts w:ascii="Arial" w:hAnsi="Arial"/>
      <w:sz w:val="21"/>
      <w:szCs w:val="24"/>
    </w:rPr>
  </w:style>
  <w:style w:type="paragraph" w:styleId="Overskrift1">
    <w:name w:val="heading 1"/>
    <w:basedOn w:val="Normal"/>
    <w:next w:val="Normal"/>
    <w:qFormat/>
    <w:rsid w:val="00DF7D98"/>
    <w:pPr>
      <w:keepNext/>
      <w:spacing w:after="240" w:line="480" w:lineRule="exact"/>
      <w:outlineLvl w:val="0"/>
    </w:pPr>
    <w:rPr>
      <w:rFonts w:ascii="Constantia" w:hAnsi="Constantia" w:cs="Arial"/>
      <w:b/>
      <w:bCs/>
      <w:color w:val="990000"/>
      <w:kern w:val="32"/>
      <w:sz w:val="32"/>
      <w:szCs w:val="28"/>
    </w:rPr>
  </w:style>
  <w:style w:type="paragraph" w:styleId="Overskrift2">
    <w:name w:val="heading 2"/>
    <w:basedOn w:val="Normal"/>
    <w:next w:val="Normal"/>
    <w:qFormat/>
    <w:rsid w:val="00DE6313"/>
    <w:pPr>
      <w:keepNext/>
      <w:tabs>
        <w:tab w:val="left" w:pos="397"/>
      </w:tabs>
      <w:spacing w:before="280" w:after="140"/>
      <w:outlineLvl w:val="1"/>
    </w:pPr>
    <w:rPr>
      <w:rFonts w:ascii="Constantia" w:hAnsi="Constantia" w:cs="Arial"/>
      <w:b/>
      <w:bCs/>
      <w:iCs/>
      <w:sz w:val="22"/>
    </w:rPr>
  </w:style>
  <w:style w:type="paragraph" w:styleId="Overskrift3">
    <w:name w:val="heading 3"/>
    <w:basedOn w:val="Normal"/>
    <w:next w:val="Normal"/>
    <w:rsid w:val="00D77637"/>
    <w:pPr>
      <w:keepNext/>
      <w:outlineLvl w:val="2"/>
    </w:pPr>
    <w:rPr>
      <w:rFonts w:cs="Arial"/>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autoRedefine/>
    <w:uiPriority w:val="99"/>
    <w:rsid w:val="004268E3"/>
    <w:pPr>
      <w:tabs>
        <w:tab w:val="center" w:pos="4819"/>
        <w:tab w:val="right" w:pos="9638"/>
      </w:tabs>
    </w:pPr>
  </w:style>
  <w:style w:type="paragraph" w:styleId="Sidefod">
    <w:name w:val="footer"/>
    <w:basedOn w:val="Normal"/>
    <w:link w:val="SidefodTegn"/>
    <w:autoRedefine/>
    <w:uiPriority w:val="99"/>
    <w:rsid w:val="00E84CFE"/>
    <w:pPr>
      <w:tabs>
        <w:tab w:val="center" w:pos="4819"/>
        <w:tab w:val="right" w:pos="9638"/>
      </w:tabs>
      <w:spacing w:line="240" w:lineRule="auto"/>
      <w:jc w:val="left"/>
    </w:pPr>
    <w:rPr>
      <w:sz w:val="16"/>
      <w:szCs w:val="18"/>
    </w:rPr>
  </w:style>
  <w:style w:type="character" w:styleId="Sidetal">
    <w:name w:val="page number"/>
    <w:basedOn w:val="Standardskrifttypeiafsnit"/>
    <w:rsid w:val="004268E3"/>
  </w:style>
  <w:style w:type="paragraph" w:styleId="Fodnotetekst">
    <w:name w:val="footnote text"/>
    <w:basedOn w:val="Normal"/>
    <w:uiPriority w:val="2"/>
    <w:qFormat/>
    <w:rsid w:val="007005B6"/>
    <w:pPr>
      <w:spacing w:line="360" w:lineRule="auto"/>
    </w:pPr>
    <w:rPr>
      <w:sz w:val="16"/>
      <w:szCs w:val="20"/>
    </w:rPr>
  </w:style>
  <w:style w:type="character" w:styleId="Fodnotehenvisning">
    <w:name w:val="footnote reference"/>
    <w:basedOn w:val="Standardskrifttypeiafsnit"/>
    <w:semiHidden/>
    <w:rsid w:val="00D77637"/>
    <w:rPr>
      <w:vertAlign w:val="superscript"/>
    </w:rPr>
  </w:style>
  <w:style w:type="paragraph" w:customStyle="1" w:styleId="KilderAnmNoter">
    <w:name w:val="Kilder Anm. Noter"/>
    <w:basedOn w:val="Normal"/>
    <w:next w:val="Normal"/>
    <w:rsid w:val="0013690F"/>
    <w:pPr>
      <w:tabs>
        <w:tab w:val="left" w:pos="567"/>
      </w:tabs>
      <w:ind w:left="567" w:hanging="567"/>
    </w:pPr>
    <w:rPr>
      <w:sz w:val="20"/>
      <w:szCs w:val="20"/>
    </w:rPr>
  </w:style>
  <w:style w:type="paragraph" w:styleId="Citat">
    <w:name w:val="Quote"/>
    <w:basedOn w:val="Normal"/>
    <w:next w:val="Normal"/>
    <w:autoRedefine/>
    <w:rsid w:val="00F50FF6"/>
    <w:pPr>
      <w:ind w:left="567" w:right="567"/>
    </w:pPr>
    <w:rPr>
      <w:i/>
    </w:rPr>
  </w:style>
  <w:style w:type="paragraph" w:styleId="Billedtekst">
    <w:name w:val="caption"/>
    <w:basedOn w:val="Normal"/>
    <w:next w:val="Normal"/>
    <w:autoRedefine/>
    <w:rsid w:val="0013690F"/>
    <w:rPr>
      <w:b/>
      <w:bCs/>
    </w:rPr>
  </w:style>
  <w:style w:type="numbering" w:customStyle="1" w:styleId="TypografiPunkttegn">
    <w:name w:val="Typografi Punkttegn"/>
    <w:basedOn w:val="Ingenoversigt"/>
    <w:rsid w:val="005728C2"/>
    <w:pPr>
      <w:numPr>
        <w:numId w:val="5"/>
      </w:numPr>
    </w:pPr>
  </w:style>
  <w:style w:type="paragraph" w:styleId="Markeringsbobletekst">
    <w:name w:val="Balloon Text"/>
    <w:basedOn w:val="Normal"/>
    <w:link w:val="MarkeringsbobletekstTegn"/>
    <w:uiPriority w:val="99"/>
    <w:semiHidden/>
    <w:unhideWhenUsed/>
    <w:rsid w:val="008C243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C243A"/>
    <w:rPr>
      <w:rFonts w:ascii="Tahoma" w:hAnsi="Tahoma" w:cs="Tahoma"/>
      <w:sz w:val="16"/>
      <w:szCs w:val="16"/>
    </w:rPr>
  </w:style>
  <w:style w:type="numbering" w:customStyle="1" w:styleId="Punkter">
    <w:name w:val="Punkter"/>
    <w:basedOn w:val="Ingenoversigt"/>
    <w:uiPriority w:val="99"/>
    <w:rsid w:val="00AE438C"/>
    <w:pPr>
      <w:numPr>
        <w:numId w:val="9"/>
      </w:numPr>
    </w:pPr>
  </w:style>
  <w:style w:type="paragraph" w:styleId="Listeafsnit">
    <w:name w:val="List Paragraph"/>
    <w:basedOn w:val="Normal"/>
    <w:uiPriority w:val="34"/>
    <w:qFormat/>
    <w:rsid w:val="00DE6313"/>
    <w:pPr>
      <w:numPr>
        <w:numId w:val="11"/>
      </w:numPr>
      <w:ind w:left="426" w:hanging="426"/>
      <w:contextualSpacing/>
    </w:pPr>
  </w:style>
  <w:style w:type="character" w:customStyle="1" w:styleId="SidefodTegn">
    <w:name w:val="Sidefod Tegn"/>
    <w:basedOn w:val="Standardskrifttypeiafsnit"/>
    <w:link w:val="Sidefod"/>
    <w:uiPriority w:val="99"/>
    <w:rsid w:val="00E84CFE"/>
    <w:rPr>
      <w:rFonts w:ascii="Arial" w:hAnsi="Arial"/>
      <w:sz w:val="16"/>
      <w:szCs w:val="18"/>
    </w:rPr>
  </w:style>
  <w:style w:type="paragraph" w:customStyle="1" w:styleId="Webintro">
    <w:name w:val="Webintro"/>
    <w:basedOn w:val="Normal"/>
    <w:qFormat/>
    <w:rsid w:val="008A0E26"/>
    <w:rPr>
      <w:b/>
    </w:rPr>
  </w:style>
  <w:style w:type="paragraph" w:customStyle="1" w:styleId="Underoverskrift">
    <w:name w:val="Underoverskrift"/>
    <w:basedOn w:val="Overskrift2"/>
    <w:next w:val="Normal"/>
    <w:qFormat/>
    <w:rsid w:val="00DE6313"/>
    <w:pPr>
      <w:numPr>
        <w:numId w:val="15"/>
      </w:numPr>
    </w:pPr>
  </w:style>
  <w:style w:type="paragraph" w:customStyle="1" w:styleId="ListeTal">
    <w:name w:val="ListeTal"/>
    <w:basedOn w:val="Listeafsnit"/>
    <w:uiPriority w:val="1"/>
    <w:qFormat/>
    <w:rsid w:val="00DE6313"/>
    <w:pPr>
      <w:numPr>
        <w:numId w:val="14"/>
      </w:numPr>
      <w:ind w:left="426" w:hanging="426"/>
    </w:pPr>
  </w:style>
  <w:style w:type="paragraph" w:customStyle="1" w:styleId="ListeBogstaver">
    <w:name w:val="ListeBogstaver"/>
    <w:basedOn w:val="Listeafsnit"/>
    <w:uiPriority w:val="1"/>
    <w:qFormat/>
    <w:rsid w:val="00DE6313"/>
    <w:pPr>
      <w:numPr>
        <w:numId w:val="13"/>
      </w:numPr>
      <w:ind w:left="426" w:hanging="426"/>
    </w:pPr>
  </w:style>
  <w:style w:type="character" w:styleId="Hyperlink">
    <w:name w:val="Hyperlink"/>
    <w:basedOn w:val="Standardskrifttypeiafsnit"/>
    <w:uiPriority w:val="99"/>
    <w:unhideWhenUsed/>
    <w:rsid w:val="002A47FC"/>
    <w:rPr>
      <w:color w:val="990000" w:themeColor="hyperlink"/>
      <w:u w:val="single"/>
    </w:rPr>
  </w:style>
  <w:style w:type="character" w:styleId="Ulstomtale">
    <w:name w:val="Unresolved Mention"/>
    <w:basedOn w:val="Standardskrifttypeiafsnit"/>
    <w:uiPriority w:val="99"/>
    <w:semiHidden/>
    <w:unhideWhenUsed/>
    <w:rsid w:val="002A47FC"/>
    <w:rPr>
      <w:color w:val="605E5C"/>
      <w:shd w:val="clear" w:color="auto" w:fill="E1DFDD"/>
    </w:rPr>
  </w:style>
  <w:style w:type="character" w:styleId="BesgtLink">
    <w:name w:val="FollowedHyperlink"/>
    <w:basedOn w:val="Standardskrifttypeiafsnit"/>
    <w:uiPriority w:val="99"/>
    <w:semiHidden/>
    <w:unhideWhenUsed/>
    <w:rsid w:val="005C603D"/>
    <w:rPr>
      <w:color w:val="FF9933" w:themeColor="followedHyperlink"/>
      <w:u w:val="single"/>
    </w:rPr>
  </w:style>
  <w:style w:type="character" w:customStyle="1" w:styleId="SidehovedTegn">
    <w:name w:val="Sidehoved Tegn"/>
    <w:basedOn w:val="Standardskrifttypeiafsnit"/>
    <w:link w:val="Sidehoved"/>
    <w:uiPriority w:val="99"/>
    <w:rsid w:val="00E84CFE"/>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1673">
      <w:bodyDiv w:val="1"/>
      <w:marLeft w:val="0"/>
      <w:marRight w:val="0"/>
      <w:marTop w:val="0"/>
      <w:marBottom w:val="0"/>
      <w:divBdr>
        <w:top w:val="none" w:sz="0" w:space="0" w:color="auto"/>
        <w:left w:val="none" w:sz="0" w:space="0" w:color="auto"/>
        <w:bottom w:val="none" w:sz="0" w:space="0" w:color="auto"/>
        <w:right w:val="none" w:sz="0" w:space="0" w:color="auto"/>
      </w:divBdr>
    </w:div>
    <w:div w:id="177934677">
      <w:bodyDiv w:val="1"/>
      <w:marLeft w:val="0"/>
      <w:marRight w:val="0"/>
      <w:marTop w:val="0"/>
      <w:marBottom w:val="0"/>
      <w:divBdr>
        <w:top w:val="none" w:sz="0" w:space="0" w:color="auto"/>
        <w:left w:val="none" w:sz="0" w:space="0" w:color="auto"/>
        <w:bottom w:val="none" w:sz="0" w:space="0" w:color="auto"/>
        <w:right w:val="none" w:sz="0" w:space="0" w:color="auto"/>
      </w:divBdr>
    </w:div>
    <w:div w:id="332875100">
      <w:bodyDiv w:val="1"/>
      <w:marLeft w:val="0"/>
      <w:marRight w:val="0"/>
      <w:marTop w:val="0"/>
      <w:marBottom w:val="0"/>
      <w:divBdr>
        <w:top w:val="none" w:sz="0" w:space="0" w:color="auto"/>
        <w:left w:val="none" w:sz="0" w:space="0" w:color="auto"/>
        <w:bottom w:val="none" w:sz="0" w:space="0" w:color="auto"/>
        <w:right w:val="none" w:sz="0" w:space="0" w:color="auto"/>
      </w:divBdr>
    </w:div>
    <w:div w:id="400444381">
      <w:bodyDiv w:val="1"/>
      <w:marLeft w:val="0"/>
      <w:marRight w:val="0"/>
      <w:marTop w:val="0"/>
      <w:marBottom w:val="0"/>
      <w:divBdr>
        <w:top w:val="none" w:sz="0" w:space="0" w:color="auto"/>
        <w:left w:val="none" w:sz="0" w:space="0" w:color="auto"/>
        <w:bottom w:val="none" w:sz="0" w:space="0" w:color="auto"/>
        <w:right w:val="none" w:sz="0" w:space="0" w:color="auto"/>
      </w:divBdr>
    </w:div>
    <w:div w:id="436217024">
      <w:bodyDiv w:val="1"/>
      <w:marLeft w:val="0"/>
      <w:marRight w:val="0"/>
      <w:marTop w:val="0"/>
      <w:marBottom w:val="0"/>
      <w:divBdr>
        <w:top w:val="none" w:sz="0" w:space="0" w:color="auto"/>
        <w:left w:val="none" w:sz="0" w:space="0" w:color="auto"/>
        <w:bottom w:val="none" w:sz="0" w:space="0" w:color="auto"/>
        <w:right w:val="none" w:sz="0" w:space="0" w:color="auto"/>
      </w:divBdr>
    </w:div>
    <w:div w:id="571161269">
      <w:bodyDiv w:val="1"/>
      <w:marLeft w:val="0"/>
      <w:marRight w:val="0"/>
      <w:marTop w:val="0"/>
      <w:marBottom w:val="0"/>
      <w:divBdr>
        <w:top w:val="none" w:sz="0" w:space="0" w:color="auto"/>
        <w:left w:val="none" w:sz="0" w:space="0" w:color="auto"/>
        <w:bottom w:val="none" w:sz="0" w:space="0" w:color="auto"/>
        <w:right w:val="none" w:sz="0" w:space="0" w:color="auto"/>
      </w:divBdr>
    </w:div>
    <w:div w:id="746154153">
      <w:bodyDiv w:val="1"/>
      <w:marLeft w:val="0"/>
      <w:marRight w:val="0"/>
      <w:marTop w:val="0"/>
      <w:marBottom w:val="0"/>
      <w:divBdr>
        <w:top w:val="none" w:sz="0" w:space="0" w:color="auto"/>
        <w:left w:val="none" w:sz="0" w:space="0" w:color="auto"/>
        <w:bottom w:val="none" w:sz="0" w:space="0" w:color="auto"/>
        <w:right w:val="none" w:sz="0" w:space="0" w:color="auto"/>
      </w:divBdr>
    </w:div>
    <w:div w:id="773087465">
      <w:bodyDiv w:val="1"/>
      <w:marLeft w:val="0"/>
      <w:marRight w:val="0"/>
      <w:marTop w:val="0"/>
      <w:marBottom w:val="0"/>
      <w:divBdr>
        <w:top w:val="none" w:sz="0" w:space="0" w:color="auto"/>
        <w:left w:val="none" w:sz="0" w:space="0" w:color="auto"/>
        <w:bottom w:val="none" w:sz="0" w:space="0" w:color="auto"/>
        <w:right w:val="none" w:sz="0" w:space="0" w:color="auto"/>
      </w:divBdr>
    </w:div>
    <w:div w:id="912199344">
      <w:bodyDiv w:val="1"/>
      <w:marLeft w:val="0"/>
      <w:marRight w:val="0"/>
      <w:marTop w:val="0"/>
      <w:marBottom w:val="0"/>
      <w:divBdr>
        <w:top w:val="none" w:sz="0" w:space="0" w:color="auto"/>
        <w:left w:val="none" w:sz="0" w:space="0" w:color="auto"/>
        <w:bottom w:val="none" w:sz="0" w:space="0" w:color="auto"/>
        <w:right w:val="none" w:sz="0" w:space="0" w:color="auto"/>
      </w:divBdr>
    </w:div>
    <w:div w:id="1149829171">
      <w:bodyDiv w:val="1"/>
      <w:marLeft w:val="0"/>
      <w:marRight w:val="0"/>
      <w:marTop w:val="0"/>
      <w:marBottom w:val="0"/>
      <w:divBdr>
        <w:top w:val="none" w:sz="0" w:space="0" w:color="auto"/>
        <w:left w:val="none" w:sz="0" w:space="0" w:color="auto"/>
        <w:bottom w:val="none" w:sz="0" w:space="0" w:color="auto"/>
        <w:right w:val="none" w:sz="0" w:space="0" w:color="auto"/>
      </w:divBdr>
    </w:div>
    <w:div w:id="1152985724">
      <w:bodyDiv w:val="1"/>
      <w:marLeft w:val="0"/>
      <w:marRight w:val="0"/>
      <w:marTop w:val="0"/>
      <w:marBottom w:val="0"/>
      <w:divBdr>
        <w:top w:val="none" w:sz="0" w:space="0" w:color="auto"/>
        <w:left w:val="none" w:sz="0" w:space="0" w:color="auto"/>
        <w:bottom w:val="none" w:sz="0" w:space="0" w:color="auto"/>
        <w:right w:val="none" w:sz="0" w:space="0" w:color="auto"/>
      </w:divBdr>
    </w:div>
    <w:div w:id="1245456201">
      <w:bodyDiv w:val="1"/>
      <w:marLeft w:val="0"/>
      <w:marRight w:val="0"/>
      <w:marTop w:val="0"/>
      <w:marBottom w:val="0"/>
      <w:divBdr>
        <w:top w:val="none" w:sz="0" w:space="0" w:color="auto"/>
        <w:left w:val="none" w:sz="0" w:space="0" w:color="auto"/>
        <w:bottom w:val="none" w:sz="0" w:space="0" w:color="auto"/>
        <w:right w:val="none" w:sz="0" w:space="0" w:color="auto"/>
      </w:divBdr>
    </w:div>
    <w:div w:id="1344550871">
      <w:bodyDiv w:val="1"/>
      <w:marLeft w:val="0"/>
      <w:marRight w:val="0"/>
      <w:marTop w:val="0"/>
      <w:marBottom w:val="0"/>
      <w:divBdr>
        <w:top w:val="none" w:sz="0" w:space="0" w:color="auto"/>
        <w:left w:val="none" w:sz="0" w:space="0" w:color="auto"/>
        <w:bottom w:val="none" w:sz="0" w:space="0" w:color="auto"/>
        <w:right w:val="none" w:sz="0" w:space="0" w:color="auto"/>
      </w:divBdr>
    </w:div>
    <w:div w:id="1377582256">
      <w:bodyDiv w:val="1"/>
      <w:marLeft w:val="0"/>
      <w:marRight w:val="0"/>
      <w:marTop w:val="0"/>
      <w:marBottom w:val="0"/>
      <w:divBdr>
        <w:top w:val="none" w:sz="0" w:space="0" w:color="auto"/>
        <w:left w:val="none" w:sz="0" w:space="0" w:color="auto"/>
        <w:bottom w:val="none" w:sz="0" w:space="0" w:color="auto"/>
        <w:right w:val="none" w:sz="0" w:space="0" w:color="auto"/>
      </w:divBdr>
    </w:div>
    <w:div w:id="1507086811">
      <w:bodyDiv w:val="1"/>
      <w:marLeft w:val="0"/>
      <w:marRight w:val="0"/>
      <w:marTop w:val="0"/>
      <w:marBottom w:val="0"/>
      <w:divBdr>
        <w:top w:val="none" w:sz="0" w:space="0" w:color="auto"/>
        <w:left w:val="none" w:sz="0" w:space="0" w:color="auto"/>
        <w:bottom w:val="none" w:sz="0" w:space="0" w:color="auto"/>
        <w:right w:val="none" w:sz="0" w:space="0" w:color="auto"/>
      </w:divBdr>
    </w:div>
    <w:div w:id="1771004171">
      <w:bodyDiv w:val="1"/>
      <w:marLeft w:val="0"/>
      <w:marRight w:val="0"/>
      <w:marTop w:val="0"/>
      <w:marBottom w:val="0"/>
      <w:divBdr>
        <w:top w:val="none" w:sz="0" w:space="0" w:color="auto"/>
        <w:left w:val="none" w:sz="0" w:space="0" w:color="auto"/>
        <w:bottom w:val="none" w:sz="0" w:space="0" w:color="auto"/>
        <w:right w:val="none" w:sz="0" w:space="0" w:color="auto"/>
      </w:divBdr>
    </w:div>
    <w:div w:id="1840196712">
      <w:bodyDiv w:val="1"/>
      <w:marLeft w:val="0"/>
      <w:marRight w:val="0"/>
      <w:marTop w:val="0"/>
      <w:marBottom w:val="0"/>
      <w:divBdr>
        <w:top w:val="none" w:sz="0" w:space="0" w:color="auto"/>
        <w:left w:val="none" w:sz="0" w:space="0" w:color="auto"/>
        <w:bottom w:val="none" w:sz="0" w:space="0" w:color="auto"/>
        <w:right w:val="none" w:sz="0" w:space="0" w:color="auto"/>
      </w:divBdr>
    </w:div>
    <w:div w:id="1906990045">
      <w:bodyDiv w:val="1"/>
      <w:marLeft w:val="0"/>
      <w:marRight w:val="0"/>
      <w:marTop w:val="0"/>
      <w:marBottom w:val="0"/>
      <w:divBdr>
        <w:top w:val="none" w:sz="0" w:space="0" w:color="auto"/>
        <w:left w:val="none" w:sz="0" w:space="0" w:color="auto"/>
        <w:bottom w:val="none" w:sz="0" w:space="0" w:color="auto"/>
        <w:right w:val="none" w:sz="0" w:space="0" w:color="auto"/>
      </w:divBdr>
    </w:div>
    <w:div w:id="2001543737">
      <w:bodyDiv w:val="1"/>
      <w:marLeft w:val="0"/>
      <w:marRight w:val="0"/>
      <w:marTop w:val="0"/>
      <w:marBottom w:val="0"/>
      <w:divBdr>
        <w:top w:val="none" w:sz="0" w:space="0" w:color="auto"/>
        <w:left w:val="none" w:sz="0" w:space="0" w:color="auto"/>
        <w:bottom w:val="none" w:sz="0" w:space="0" w:color="auto"/>
        <w:right w:val="none" w:sz="0" w:space="0" w:color="auto"/>
      </w:divBdr>
    </w:div>
    <w:div w:id="21377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anstilsynet.dk/organisationen/organisationsdiagram" TargetMode="External"/><Relationship Id="rId13" Type="http://schemas.openxmlformats.org/officeDocument/2006/relationships/hyperlink" Target="https://www.eiopa.europa.eu/publications/peer-review-freedom-provide-services_en" TargetMode="External"/><Relationship Id="rId18" Type="http://schemas.openxmlformats.org/officeDocument/2006/relationships/hyperlink" Target="https://www.eiopa.europa.eu/publications/peer-review-supervisory-practices-respect-application-prudent-person-rule-iorps_en" TargetMode="External"/><Relationship Id="rId26" Type="http://schemas.openxmlformats.org/officeDocument/2006/relationships/hyperlink" Target="https://www.eiopa.europa.eu/publications/follow-report-eiopas-peer-review-collaboration-supervisory-authorities_en" TargetMode="External"/><Relationship Id="rId3" Type="http://schemas.openxmlformats.org/officeDocument/2006/relationships/styles" Target="styles.xml"/><Relationship Id="rId21" Type="http://schemas.openxmlformats.org/officeDocument/2006/relationships/hyperlink" Target="https://www.eiopa.europa.eu/publications/follow-report-peer-review-key-functions-supervisory-practices-and-application-assessing-key_en" TargetMode="External"/><Relationship Id="rId7" Type="http://schemas.openxmlformats.org/officeDocument/2006/relationships/endnotes" Target="endnotes.xml"/><Relationship Id="rId12" Type="http://schemas.openxmlformats.org/officeDocument/2006/relationships/hyperlink" Target="https://www.eiopa.europa.eu/publications/follow-peer-reviews-pre-application-internal-models_en" TargetMode="External"/><Relationship Id="rId17" Type="http://schemas.openxmlformats.org/officeDocument/2006/relationships/hyperlink" Target="https://www.eiopa.europa.eu/publications/peer-review-propriety-administrative-management-or-supervisory-body-members-and-qualifying_en" TargetMode="External"/><Relationship Id="rId25" Type="http://schemas.openxmlformats.org/officeDocument/2006/relationships/hyperlink" Target="https://www.eiopa.europa.eu/publications/peer-review-report-supervision-prudent-person-principle-under-solvency-ii_en" TargetMode="External"/><Relationship Id="rId2" Type="http://schemas.openxmlformats.org/officeDocument/2006/relationships/numbering" Target="numbering.xml"/><Relationship Id="rId16" Type="http://schemas.openxmlformats.org/officeDocument/2006/relationships/hyperlink" Target="https://www.eiopa.europa.eu/publications/peer-review-key-functions-supervisory-practices-and-application-assessing-key-functions_en" TargetMode="External"/><Relationship Id="rId20" Type="http://schemas.openxmlformats.org/officeDocument/2006/relationships/hyperlink" Target="https://www.eiopa.europa.eu/publications/peer-review-eiopas-decision-collaboration-insurance-supervisory-authorities_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opa.europa.eu/publications/peer-review-pre-application-internal-models-nsas-and-colleges_en" TargetMode="External"/><Relationship Id="rId24" Type="http://schemas.openxmlformats.org/officeDocument/2006/relationships/hyperlink" Target="https://www.eiopa.europa.eu/publications/follow-report-peer-review-supervisory-practices-respect-application-ppr-iorps_en?prefLang=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iopa.europa.eu/publications/peer-review-statement-investment-policy-principles-iorps_en" TargetMode="External"/><Relationship Id="rId23" Type="http://schemas.openxmlformats.org/officeDocument/2006/relationships/hyperlink" Target="https://www.eiopa.europa.eu/publications/follow-report-peer-review-propriety-assessment-administrative-management-and-supervisory-body_en?prefLang=lt" TargetMode="External"/><Relationship Id="rId28" Type="http://schemas.openxmlformats.org/officeDocument/2006/relationships/footer" Target="footer1.xml"/><Relationship Id="rId10" Type="http://schemas.openxmlformats.org/officeDocument/2006/relationships/hyperlink" Target="https://www.finanstilsynet.dk/Media/638482440907960056/Ans%C3%B8gning%20om%20godkendelse%20af%20vurdering%20og%20klassificering%20af%20kapitalelementer%20der%20ikke%20fremg%C3%A5r%20af%20Kommissionens%20liste%20docx.pdf" TargetMode="External"/><Relationship Id="rId19" Type="http://schemas.openxmlformats.org/officeDocument/2006/relationships/hyperlink" Target="https://www.eiopa.europa.eu/publications/peer-review-regular-supervisory-report_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nanstilsynet.dk/Media/638532651185322439/Godkendelse_af_SBH_type_A_som_tier_2%20pdf.pdf" TargetMode="External"/><Relationship Id="rId14" Type="http://schemas.openxmlformats.org/officeDocument/2006/relationships/hyperlink" Target="https://www.eiopa.europa.eu/publications/peer-review-ncas-governance-colleges_en" TargetMode="External"/><Relationship Id="rId22" Type="http://schemas.openxmlformats.org/officeDocument/2006/relationships/hyperlink" Target="https://www.eiopa.europa.eu/publications/peer-review-outsourcing_en"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Webskabelon.dotm" TargetMode="Externa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035DA-AFC6-4710-B2B9-F1DA4D21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Webskabelon.dotm</Template>
  <TotalTime>213</TotalTime>
  <Pages>8</Pages>
  <Words>2338</Words>
  <Characters>17601</Characters>
  <Application>Microsoft Office Word</Application>
  <DocSecurity>0</DocSecurity>
  <Lines>146</Lines>
  <Paragraphs>39</Paragraphs>
  <ScaleCrop>false</ScaleCrop>
  <HeadingPairs>
    <vt:vector size="2" baseType="variant">
      <vt:variant>
        <vt:lpstr>Titel</vt:lpstr>
      </vt:variant>
      <vt:variant>
        <vt:i4>1</vt:i4>
      </vt:variant>
    </vt:vector>
  </HeadingPairs>
  <TitlesOfParts>
    <vt:vector size="1" baseType="lpstr">
      <vt:lpstr>Overskrift 1</vt:lpstr>
    </vt:vector>
  </TitlesOfParts>
  <Company>Finanstilsynet</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 1</dc:title>
  <dc:subject/>
  <dc:creator>Freja Lund Fredholm (FT)</dc:creator>
  <cp:keywords/>
  <dc:description/>
  <cp:lastModifiedBy>Stine Breiner Pedersen (FT)</cp:lastModifiedBy>
  <cp:revision>6</cp:revision>
  <cp:lastPrinted>2024-08-30T10:55:00Z</cp:lastPrinted>
  <dcterms:created xsi:type="dcterms:W3CDTF">2025-09-12T11:25:00Z</dcterms:created>
  <dcterms:modified xsi:type="dcterms:W3CDTF">2025-09-17T08:55:00Z</dcterms:modified>
</cp:coreProperties>
</file>